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dxa" w:w="14615"/>
        <w:jc w:val="center"/>
        <w:tblLayout w:type="fixed"/>
        <w:tblLook w:firstColumn="1" w:firstRow="1" w:lastColumn="0" w:lastRow="0" w:noHBand="0" w:noVBand="1" w:val="04A0"/>
        <w:tblBorders>
          <w:top w:val="nil" w:sz="0" w:color="FFFFFF"/>
          <w:left w:val="nil" w:sz="0" w:color="FFFFFF"/>
          <w:bottom w:val="nil" w:sz="0" w:color="FFFFFF"/>
          <w:right w:val="nil" w:sz="0" w:color="FFFFFF"/>
          <w:insideH w:val="nil" w:sz="0" w:color="FFFFFF"/>
          <w:insideV w:val="nil" w:sz="0" w:color="FFFFFF"/>
        </w:tblBorders>
      </w:tblPr>
      <w:tblGrid>
        <w:gridCol w:w="11664"/>
        <w:gridCol w:w="2951"/>
      </w:tblGrid>
      <w:tr>
        <w:tc>
          <w:tcPr>
            <w:tcW w:type="dxa" w:w="11664"/>
            <w:shd w:fill="17384D"/>
            <w:tcMar>
              <w:top w:w="100" w:type="dxa"/>
              <w:start w:w="170" w:type="dxa"/>
              <w:bottom w:w="90" w:type="dxa"/>
              <w:end w:w="17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b/>
                <w:i w:val="0"/>
                <w:color w:val="C5A33A"/>
                <w:sz w:val="16"/>
              </w:rPr>
              <w:t>BOUTIQUE OFFICE / MEDICAL OPPORTUNITY</w:t>
            </w:r>
          </w:p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FFFFFF"/>
                <w:sz w:val="42"/>
              </w:rPr>
              <w:t>200 NEWPORT CENTER DRIVE</w:t>
            </w:r>
          </w:p>
          <w:p>
            <w:pPr>
              <w:spacing w:after="0"/>
            </w:pPr>
            <w:r>
              <w:rPr>
                <w:rFonts w:ascii="Arial" w:hAnsi="Arial"/>
                <w:b w:val="0"/>
                <w:i w:val="0"/>
                <w:color w:val="D7E1E6"/>
                <w:sz w:val="18"/>
              </w:rPr>
              <w:t>Suite 111 | Newport Beach, California 92660</w:t>
            </w:r>
          </w:p>
        </w:tc>
        <w:tc>
          <w:tcPr>
            <w:tcW w:type="dxa" w:w="2951"/>
            <w:shd w:fill="C93B32"/>
            <w:tcMar>
              <w:top w:w="85" w:type="dxa"/>
              <w:start w:w="130" w:type="dxa"/>
              <w:bottom w:w="75" w:type="dxa"/>
              <w:end w:w="130" w:type="dxa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hAnsi="Arial"/>
                <w:b w:val="0"/>
                <w:i w:val="0"/>
                <w:color w:val="FFFFFF"/>
                <w:sz w:val="24"/>
              </w:rPr>
              <w:t>FOR</w:t>
            </w:r>
          </w:p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50"/>
              </w:rPr>
              <w:t>LEASE</w:t>
            </w:r>
          </w:p>
        </w:tc>
      </w:tr>
    </w:tbl>
    <w:p>
      <w:pPr>
        <w:spacing w:after="0"/>
      </w:pPr>
    </w:p>
    <w:tbl>
      <w:tblPr>
        <w:tblW w:type="dxa" w:w="14616"/>
        <w:tblLayout w:type="fixed"/>
        <w:tblLook w:firstColumn="1" w:firstRow="1" w:lastColumn="0" w:lastRow="0" w:noHBand="0" w:noVBand="1" w:val="04A0"/>
        <w:jc w:val="center"/>
        <w:tblBorders>
          <w:top w:val="nil" w:sz="0" w:color="FFFFFF"/>
          <w:left w:val="nil" w:sz="0" w:color="FFFFFF"/>
          <w:bottom w:val="nil" w:sz="0" w:color="FFFFFF"/>
          <w:right w:val="nil" w:sz="0" w:color="FFFFFF"/>
          <w:insideH w:val="nil" w:sz="0" w:color="FFFFFF"/>
          <w:insideV w:val="nil" w:sz="0" w:color="FFFFFF"/>
        </w:tblBorders>
      </w:tblPr>
      <w:tblGrid>
        <w:gridCol w:w="10296"/>
        <w:gridCol w:w="4320"/>
      </w:tblGrid>
      <w:tr>
        <w:tc>
          <w:tcPr>
            <w:tcW w:type="dxa" w:w="10296"/>
            <w:tcMar>
              <w:top w:w="0" w:type="dxa"/>
              <w:start w:w="0" w:type="dxa"/>
              <w:bottom w:w="0" w:type="dxa"/>
              <w:end w:w="90" w:type="dxa"/>
            </w:tcMar>
          </w:tcPr>
          <w:p>
            <w:pPr>
              <w:spacing w:after="0" w:before="0"/>
            </w:pPr>
            <w:r>
              <w:drawing>
                <wp:inline xmlns:a="http://schemas.openxmlformats.org/drawingml/2006/main" xmlns:pic="http://schemas.openxmlformats.org/drawingml/2006/picture">
                  <wp:extent cx="6446520" cy="2816352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mage1.jpe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46520" cy="281635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320"/>
            <w:tcMar>
              <w:top w:w="100" w:type="dxa"/>
              <w:start w:w="140" w:type="dxa"/>
              <w:bottom w:w="95" w:type="dxa"/>
              <w:end w:w="140" w:type="dxa"/>
            </w:tcMar>
            <w:shd w:fill="F3F1EC"/>
          </w:tcPr>
          <w:p>
            <w:pPr>
              <w:spacing w:after="0" w:before="0"/>
            </w:pPr>
            <w:r>
              <w:rPr>
                <w:rFonts w:ascii="Arial" w:hAnsi="Arial"/>
                <w:b/>
                <w:i w:val="0"/>
                <w:color w:val="17384D"/>
                <w:sz w:val="24"/>
              </w:rPr>
              <w:t>AVAILABLE IMMEDIATELY</w:t>
            </w:r>
          </w:p>
          <w:p>
            <w:r>
              <w:rPr>
                <w:rFonts w:ascii="Arial" w:hAnsi="Arial"/>
                <w:b/>
                <w:i w:val="0"/>
                <w:color w:val="C5A33A"/>
                <w:sz w:val="38"/>
              </w:rPr>
              <w:t>$4.00-$4.50/SF</w:t>
            </w:r>
          </w:p>
          <w:p>
            <w:pPr>
              <w:spacing w:after="100"/>
            </w:pPr>
            <w:r>
              <w:rPr>
                <w:rFonts w:ascii="Arial" w:hAnsi="Arial"/>
                <w:b/>
                <w:i w:val="0"/>
                <w:color w:val="17384D"/>
                <w:sz w:val="16"/>
              </w:rPr>
              <w:t>FULL SERVICE GROSS</w:t>
            </w:r>
          </w:p>
          <w:p>
            <w:pPr>
              <w:pStyle w:val="ListBullet"/>
              <w:spacing w:after="40" w:line="240" w:lineRule="auto"/>
            </w:pPr>
            <w:r>
              <w:rPr>
                <w:rFonts w:ascii="Arial" w:hAnsi="Arial"/>
                <w:b w:val="0"/>
                <w:i w:val="0"/>
                <w:color w:val="5E666B"/>
                <w:sz w:val="17"/>
              </w:rPr>
              <w:t>Suite 111  |  1,281 SF</w:t>
            </w:r>
          </w:p>
          <w:p>
            <w:pPr>
              <w:pStyle w:val="ListBullet"/>
              <w:spacing w:after="40" w:line="240" w:lineRule="auto"/>
            </w:pPr>
            <w:r>
              <w:rPr>
                <w:rFonts w:ascii="Arial" w:hAnsi="Arial"/>
                <w:b w:val="0"/>
                <w:i w:val="0"/>
                <w:color w:val="5E666B"/>
                <w:sz w:val="17"/>
              </w:rPr>
              <w:t>Office / Medical / Service Retail</w:t>
            </w:r>
          </w:p>
          <w:p>
            <w:pPr>
              <w:pStyle w:val="ListBullet"/>
              <w:spacing w:after="40" w:line="240" w:lineRule="auto"/>
            </w:pPr>
            <w:r>
              <w:rPr>
                <w:rFonts w:ascii="Arial" w:hAnsi="Arial"/>
                <w:b w:val="0"/>
                <w:i w:val="0"/>
                <w:color w:val="5E666B"/>
                <w:sz w:val="17"/>
              </w:rPr>
              <w:t>Short- or long-term lease considered</w:t>
            </w:r>
          </w:p>
          <w:p>
            <w:pPr>
              <w:spacing w:before="160" w:after="0"/>
            </w:pPr>
            <w:r>
              <w:rPr>
                <w:rFonts w:ascii="Arial" w:hAnsi="Arial"/>
                <w:b/>
                <w:i w:val="0"/>
                <w:color w:val="C93B32"/>
                <w:sz w:val="16"/>
              </w:rPr>
              <w:t>CALL OR TEXT FOR A TOUR / VIDEO</w:t>
            </w:r>
          </w:p>
        </w:tc>
      </w:tr>
    </w:tbl>
    <w:p>
      <w:pPr>
        <w:spacing w:before="100" w:after="80"/>
      </w:pPr>
      <w:r>
        <w:rPr>
          <w:rFonts w:ascii="Arial" w:hAnsi="Arial"/>
          <w:b/>
          <w:i w:val="0"/>
          <w:color w:val="17384D"/>
          <w:sz w:val="26"/>
        </w:rPr>
        <w:t>WHY THIS LOCATION STANDS OUT</w:t>
      </w:r>
    </w:p>
    <w:tbl>
      <w:tblPr>
        <w:tblW w:type="dxa" w:w="14630"/>
        <w:tblLayout w:type="fixed"/>
        <w:tblLook w:firstColumn="1" w:firstRow="1" w:lastColumn="0" w:lastRow="0" w:noHBand="0" w:noVBand="1" w:val="04A0"/>
        <w:jc w:val="center"/>
        <w:tblBorders>
          <w:top w:val="nil" w:sz="0" w:color="FFFFFF"/>
          <w:left w:val="nil" w:sz="0" w:color="FFFFFF"/>
          <w:bottom w:val="nil" w:sz="0" w:color="FFFFFF"/>
          <w:right w:val="nil" w:sz="0" w:color="FFFFFF"/>
          <w:insideH w:val="nil" w:sz="0" w:color="FFFFFF"/>
          <w:insideV w:val="nil" w:sz="0" w:color="FFFFFF"/>
        </w:tblBorders>
      </w:tblPr>
      <w:tblGrid>
        <w:gridCol w:w="3657"/>
        <w:gridCol w:w="3657"/>
        <w:gridCol w:w="3657"/>
        <w:gridCol w:w="3657"/>
      </w:tblGrid>
      <w:tr>
        <w:tc>
          <w:tcPr>
            <w:tcW w:type="dxa" w:w="3657"/>
            <w:shd w:fill="17384D"/>
            <w:tcMar>
              <w:top w:w="90" w:type="dxa"/>
              <w:start w:w="115" w:type="dxa"/>
              <w:bottom w:w="85" w:type="dxa"/>
              <w:end w:w="115" w:type="dxa"/>
            </w:tcMar>
          </w:tcPr>
          <w:p>
            <w:pPr>
              <w:spacing w:after="0" w:before="0"/>
              <w:jc w:val="center"/>
            </w:pPr>
            <w:r>
              <w:rPr>
                <w:rFonts w:ascii="Arial" w:hAnsi="Arial"/>
                <w:b/>
                <w:i w:val="0"/>
                <w:color w:val="C5A33A"/>
                <w:sz w:val="18"/>
              </w:rPr>
              <w:t>FREE PARKING</w:t>
            </w:r>
          </w:p>
          <w:p>
            <w:pPr>
              <w:spacing w:after="0"/>
              <w:jc w:val="center"/>
            </w:pPr>
            <w:r>
              <w:rPr>
                <w:rFonts w:ascii="Arial" w:hAnsi="Arial"/>
                <w:b w:val="0"/>
                <w:i w:val="0"/>
                <w:color w:val="FFFFFF"/>
                <w:sz w:val="14"/>
              </w:rPr>
              <w:t>Convenient surface parking for staff and clients</w:t>
            </w:r>
          </w:p>
        </w:tc>
        <w:tc>
          <w:tcPr>
            <w:tcW w:type="dxa" w:w="3657"/>
            <w:shd w:fill="17384D"/>
            <w:tcMar>
              <w:top w:w="90" w:type="dxa"/>
              <w:start w:w="115" w:type="dxa"/>
              <w:bottom w:w="85" w:type="dxa"/>
              <w:end w:w="115" w:type="dxa"/>
            </w:tcMar>
          </w:tcPr>
          <w:p>
            <w:pPr>
              <w:spacing w:after="0" w:before="0"/>
              <w:jc w:val="center"/>
            </w:pPr>
            <w:r>
              <w:rPr>
                <w:rFonts w:ascii="Arial" w:hAnsi="Arial"/>
                <w:b/>
                <w:i w:val="0"/>
                <w:color w:val="C5A33A"/>
                <w:sz w:val="18"/>
              </w:rPr>
              <w:t>NEWPORT CENTER</w:t>
            </w:r>
          </w:p>
          <w:p>
            <w:pPr>
              <w:spacing w:after="0"/>
              <w:jc w:val="center"/>
            </w:pPr>
            <w:r>
              <w:rPr>
                <w:rFonts w:ascii="Arial" w:hAnsi="Arial"/>
                <w:b w:val="0"/>
                <w:i w:val="0"/>
                <w:color w:val="FFFFFF"/>
                <w:sz w:val="14"/>
              </w:rPr>
              <w:t>Prestigious address adjacent to Fashion Island</w:t>
            </w:r>
          </w:p>
        </w:tc>
        <w:tc>
          <w:tcPr>
            <w:tcW w:type="dxa" w:w="3657"/>
            <w:shd w:fill="17384D"/>
            <w:tcMar>
              <w:top w:w="90" w:type="dxa"/>
              <w:start w:w="115" w:type="dxa"/>
              <w:bottom w:w="85" w:type="dxa"/>
              <w:end w:w="115" w:type="dxa"/>
            </w:tcMar>
          </w:tcPr>
          <w:p>
            <w:pPr>
              <w:spacing w:after="0" w:before="0"/>
              <w:jc w:val="center"/>
            </w:pPr>
            <w:r>
              <w:rPr>
                <w:rFonts w:ascii="Arial" w:hAnsi="Arial"/>
                <w:b/>
                <w:i w:val="0"/>
                <w:color w:val="C5A33A"/>
                <w:sz w:val="18"/>
              </w:rPr>
              <w:t>OCEAN VIEWS</w:t>
            </w:r>
          </w:p>
          <w:p>
            <w:pPr>
              <w:spacing w:after="0"/>
              <w:jc w:val="center"/>
            </w:pPr>
            <w:r>
              <w:rPr>
                <w:rFonts w:ascii="Arial" w:hAnsi="Arial"/>
                <w:b w:val="0"/>
                <w:i w:val="0"/>
                <w:color w:val="FFFFFF"/>
                <w:sz w:val="14"/>
              </w:rPr>
              <w:t>Window offices and prominent exterior exposure</w:t>
            </w:r>
          </w:p>
        </w:tc>
        <w:tc>
          <w:tcPr>
            <w:tcW w:type="dxa" w:w="3657"/>
            <w:shd w:fill="17384D"/>
            <w:tcMar>
              <w:top w:w="90" w:type="dxa"/>
              <w:start w:w="115" w:type="dxa"/>
              <w:bottom w:w="85" w:type="dxa"/>
              <w:end w:w="115" w:type="dxa"/>
            </w:tcMar>
          </w:tcPr>
          <w:p>
            <w:pPr>
              <w:spacing w:after="0" w:before="0"/>
              <w:jc w:val="center"/>
            </w:pPr>
            <w:r>
              <w:rPr>
                <w:rFonts w:ascii="Arial" w:hAnsi="Arial"/>
                <w:b/>
                <w:i w:val="0"/>
                <w:color w:val="C5A33A"/>
                <w:sz w:val="18"/>
              </w:rPr>
              <w:t>EASY ACCESS</w:t>
            </w:r>
          </w:p>
          <w:p>
            <w:pPr>
              <w:spacing w:after="0"/>
              <w:jc w:val="center"/>
            </w:pPr>
            <w:r>
              <w:rPr>
                <w:rFonts w:ascii="Arial" w:hAnsi="Arial"/>
                <w:b w:val="0"/>
                <w:i w:val="0"/>
                <w:color w:val="FFFFFF"/>
                <w:sz w:val="14"/>
              </w:rPr>
              <w:t>Elevator served; ground-floor Suite 111 access</w:t>
            </w:r>
          </w:p>
        </w:tc>
      </w:tr>
    </w:tbl>
    <w:p>
      <w:pPr>
        <w:spacing w:before="100" w:after="80"/>
      </w:pPr>
      <w:r>
        <w:rPr>
          <w:rFonts w:ascii="Arial" w:hAnsi="Arial"/>
          <w:b/>
          <w:i w:val="0"/>
          <w:color w:val="17384D"/>
          <w:sz w:val="26"/>
        </w:rPr>
        <w:t>AVAILABLE SUITE</w:t>
      </w:r>
    </w:p>
    <w:tbl>
      <w:tblPr>
        <w:tblW w:type="dxa" w:w="14630"/>
        <w:tblLayout w:type="fixed"/>
        <w:tblLook w:firstColumn="1" w:firstRow="1" w:lastColumn="0" w:lastRow="0" w:noHBand="0" w:noVBand="1" w:val="04A0"/>
        <w:jc w:val="center"/>
        <w:tblBorders>
          <w:top w:val="nil" w:sz="0" w:color="FFFFFF"/>
          <w:left w:val="nil" w:sz="0" w:color="FFFFFF"/>
          <w:bottom w:val="nil" w:sz="0" w:color="FFFFFF"/>
          <w:right w:val="nil" w:sz="0" w:color="FFFFFF"/>
          <w:insideH w:val="nil" w:sz="0" w:color="FFFFFF"/>
          <w:insideV w:val="nil" w:sz="0" w:color="FFFFFF"/>
        </w:tblBorders>
      </w:tblPr>
      <w:tblGrid>
        <w:gridCol w:w="7257"/>
        <w:gridCol w:w="7372"/>
      </w:tblGrid>
      <w:tr>
        <w:tc>
          <w:tcPr>
            <w:tcW w:type="dxa" w:w="14629"/>
            <w:gridSpan w:val="2"/>
            <w:shd w:fill="F3F1EC"/>
            <w:tcMar>
              <w:top w:w="100" w:type="dxa"/>
              <w:start w:w="140" w:type="dxa"/>
              <w:bottom w:w="95" w:type="dxa"/>
              <w:end w:w="14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b/>
                <w:i w:val="0"/>
                <w:color w:val="17384D"/>
                <w:sz w:val="21"/>
              </w:rPr>
              <w:t>SUITE 111  |  1,281 SF</w:t>
            </w:r>
          </w:p>
          <w:p>
            <w:pPr>
              <w:pStyle w:val="ListBullet"/>
              <w:spacing w:after="40" w:line="240" w:lineRule="auto"/>
            </w:pPr>
            <w:r>
              <w:rPr>
                <w:rFonts w:ascii="Arial" w:hAnsi="Arial"/>
                <w:b w:val="0"/>
                <w:i w:val="0"/>
                <w:color w:val="5E666B"/>
                <w:sz w:val="15"/>
              </w:rPr>
              <w:t>Ground floor with two entry doors</w:t>
            </w:r>
          </w:p>
          <w:p>
            <w:pPr>
              <w:pStyle w:val="ListBullet"/>
              <w:spacing w:after="40" w:line="240" w:lineRule="auto"/>
            </w:pPr>
            <w:r>
              <w:rPr>
                <w:rFonts w:ascii="Arial" w:hAnsi="Arial"/>
                <w:b w:val="0"/>
                <w:i w:val="0"/>
                <w:color w:val="5E666B"/>
                <w:sz w:val="15"/>
              </w:rPr>
              <w:t>Reception, 3 private offices, storage and open area</w:t>
            </w:r>
          </w:p>
          <w:p>
            <w:pPr>
              <w:pStyle w:val="ListBullet"/>
              <w:spacing w:after="40" w:line="240" w:lineRule="auto"/>
            </w:pPr>
            <w:r>
              <w:rPr>
                <w:rFonts w:ascii="Arial" w:hAnsi="Arial"/>
                <w:b w:val="0"/>
                <w:i w:val="0"/>
                <w:color w:val="5E666B"/>
                <w:sz w:val="15"/>
              </w:rPr>
              <w:t>Corner position; potential sink installation</w:t>
            </w:r>
          </w:p>
          <w:p>
            <w:pPr>
              <w:pStyle w:val="ListBullet"/>
              <w:spacing w:after="40" w:line="240" w:lineRule="auto"/>
            </w:pPr>
            <w:r>
              <w:rPr>
                <w:rFonts w:ascii="Arial" w:hAnsi="Arial"/>
                <w:b w:val="0"/>
                <w:i w:val="0"/>
                <w:color w:val="5E666B"/>
                <w:sz w:val="15"/>
              </w:rPr>
              <w:t>Landlord may consider tenant improvements or free rent, subject to negotiated terms</w:t>
            </w:r>
          </w:p>
        </w:tc>
      </w:tr>
    </w:tbl>
    <w:p>
      <w:pPr>
        <w:spacing w:after="0"/>
      </w:pPr>
    </w:p>
    <w:tbl>
      <w:tblPr>
        <w:tblW w:type="dxa" w:w="14616"/>
        <w:tblLayout w:type="fixed"/>
        <w:tblLook w:firstColumn="1" w:firstRow="1" w:lastColumn="0" w:lastRow="0" w:noHBand="0" w:noVBand="1" w:val="04A0"/>
        <w:jc w:val="center"/>
        <w:tblBorders>
          <w:top w:val="nil" w:sz="0" w:color="FFFFFF"/>
          <w:left w:val="nil" w:sz="0" w:color="FFFFFF"/>
          <w:bottom w:val="nil" w:sz="0" w:color="FFFFFF"/>
          <w:right w:val="nil" w:sz="0" w:color="FFFFFF"/>
          <w:insideH w:val="nil" w:sz="0" w:color="FFFFFF"/>
          <w:insideV w:val="nil" w:sz="0" w:color="FFFFFF"/>
        </w:tblBorders>
      </w:tblPr>
      <w:tblGrid>
        <w:gridCol w:w="1800"/>
        <w:gridCol w:w="8496"/>
        <w:gridCol w:w="4320"/>
      </w:tblGrid>
      <w:tr>
        <w:tc>
          <w:tcPr>
            <w:tcW w:type="dxa" w:w="1800"/>
            <w:shd w:fill="17384D"/>
            <w:tcMar>
              <w:top w:w="80" w:type="dxa"/>
              <w:start w:w="120" w:type="dxa"/>
              <w:bottom w:w="70" w:type="dxa"/>
              <w:end w:w="120" w:type="dxa"/>
            </w:tcMar>
            <w:vAlign w:val="center"/>
          </w:tcPr>
          <w:p>
            <w:pPr>
              <w:spacing w:after="0" w:before="0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822960" cy="920219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ortrait_contact.pn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960" cy="920219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8496"/>
            <w:shd w:fill="17384D"/>
            <w:tcMar>
              <w:top w:w="80" w:type="dxa"/>
              <w:start w:w="120" w:type="dxa"/>
              <w:bottom w:w="70" w:type="dxa"/>
              <w:end w:w="120" w:type="dxa"/>
            </w:tcMar>
            <w:vAlign w:val="center"/>
          </w:tcPr>
          <w:p>
            <w:pPr>
              <w:spacing w:after="0" w:before="0"/>
            </w:pPr>
            <w:r>
              <w:rPr>
                <w:rFonts w:ascii="Arial" w:hAnsi="Arial"/>
                <w:b/>
                <w:i w:val="0"/>
                <w:color w:val="C5A33A"/>
                <w:sz w:val="20"/>
              </w:rPr>
              <w:t>KAREN A. SUNDAY</w:t>
            </w:r>
          </w:p>
          <w:p>
            <w:pPr>
              <w:spacing w:after="0"/>
            </w:pPr>
            <w:r>
              <w:rPr>
                <w:rFonts w:ascii="Arial" w:hAnsi="Arial"/>
                <w:b w:val="0"/>
                <w:i w:val="0"/>
                <w:color w:val="FFFFFF"/>
                <w:sz w:val="14"/>
              </w:rPr>
              <w:t>Karen A. Sunday &amp; Associates, Inc. | Commercial Real Estate Broker</w:t>
            </w:r>
          </w:p>
          <w:p>
            <w:pPr>
              <w:spacing w:after="0"/>
            </w:pPr>
            <w:r>
              <w:rPr>
                <w:rFonts w:ascii="Arial" w:hAnsi="Arial"/>
                <w:b w:val="0"/>
                <w:i w:val="0"/>
                <w:color w:val="FFFFFF"/>
                <w:sz w:val="14"/>
              </w:rPr>
              <w:t>CA DRE Broker License #01883124</w:t>
            </w:r>
          </w:p>
        </w:tc>
        <w:tc>
          <w:tcPr>
            <w:tcW w:type="dxa" w:w="4320"/>
            <w:shd w:fill="17384D"/>
            <w:tcMar>
              <w:top w:w="80" w:type="dxa"/>
              <w:start w:w="120" w:type="dxa"/>
              <w:bottom w:w="70" w:type="dxa"/>
              <w:end w:w="120" w:type="dxa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hAnsi="Arial"/>
                <w:b/>
                <w:i w:val="0"/>
                <w:color w:val="FFFFFF"/>
                <w:sz w:val="20"/>
              </w:rPr>
              <w:t>(949) 632-7727</w:t>
            </w:r>
          </w:p>
          <w:p>
            <w:pPr>
              <w:spacing w:after="0"/>
              <w:jc w:val="right"/>
            </w:pPr>
            <w:r>
              <w:rPr>
                <w:rFonts w:ascii="Arial" w:hAnsi="Arial"/>
                <w:b/>
                <w:i w:val="0"/>
                <w:color w:val="C5A33A"/>
                <w:sz w:val="17"/>
              </w:rPr>
              <w:t>Karen@karensunday.com</w:t>
            </w:r>
          </w:p>
          <w:p>
            <w:pPr>
              <w:spacing w:after="0"/>
              <w:jc w:val="right"/>
            </w:pPr>
            <w:r>
              <w:rPr>
                <w:rFonts w:ascii="Arial" w:hAnsi="Arial"/>
                <w:b w:val="0"/>
                <w:i w:val="0"/>
                <w:color w:val="FFFFFF"/>
                <w:sz w:val="13"/>
              </w:rPr>
              <w:t>23 Corporate Plaza Drive, Suite 150 | Newport Beach, CA 92660</w:t>
            </w:r>
          </w:p>
        </w:tc>
      </w:tr>
    </w:tbl>
    <w:p>
      <w:r>
        <w:br w:type="page"/>
      </w:r>
    </w:p>
    <w:tbl>
      <w:tblPr>
        <w:tblW w:type="dxa" w:w="14615"/>
        <w:jc w:val="center"/>
        <w:tblLayout w:type="fixed"/>
        <w:tblLook w:firstColumn="1" w:firstRow="1" w:lastColumn="0" w:lastRow="0" w:noHBand="0" w:noVBand="1" w:val="04A0"/>
        <w:tblBorders>
          <w:top w:val="nil" w:sz="0" w:color="FFFFFF"/>
          <w:left w:val="nil" w:sz="0" w:color="FFFFFF"/>
          <w:bottom w:val="nil" w:sz="0" w:color="FFFFFF"/>
          <w:right w:val="nil" w:sz="0" w:color="FFFFFF"/>
          <w:insideH w:val="nil" w:sz="0" w:color="FFFFFF"/>
          <w:insideV w:val="nil" w:sz="0" w:color="FFFFFF"/>
        </w:tblBorders>
      </w:tblPr>
      <w:tblGrid>
        <w:gridCol w:w="11664"/>
        <w:gridCol w:w="2951"/>
      </w:tblGrid>
      <w:tr>
        <w:tc>
          <w:tcPr>
            <w:tcW w:type="dxa" w:w="11664"/>
            <w:shd w:fill="17384D"/>
            <w:tcMar>
              <w:top w:w="100" w:type="dxa"/>
              <w:start w:w="170" w:type="dxa"/>
              <w:bottom w:w="90" w:type="dxa"/>
              <w:end w:w="17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b/>
                <w:i w:val="0"/>
                <w:color w:val="C5A33A"/>
                <w:sz w:val="16"/>
              </w:rPr>
              <w:t>NEWPORT BEACH MARKET PROFILE</w:t>
            </w:r>
          </w:p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FFFFFF"/>
                <w:sz w:val="42"/>
              </w:rPr>
              <w:t>AFFLUENT CLIENT BASE. PREMIER BUSINESS ADDRESS.</w:t>
            </w:r>
          </w:p>
          <w:p>
            <w:pPr>
              <w:spacing w:after="0"/>
            </w:pPr>
            <w:r>
              <w:rPr>
                <w:rFonts w:ascii="Arial" w:hAnsi="Arial"/>
                <w:b w:val="0"/>
                <w:i w:val="0"/>
                <w:color w:val="D7E1E6"/>
                <w:sz w:val="18"/>
              </w:rPr>
              <w:t>A compelling setting for professional, medical, wellness and boutique service users</w:t>
            </w:r>
          </w:p>
        </w:tc>
        <w:tc>
          <w:tcPr>
            <w:tcW w:type="dxa" w:w="2951"/>
            <w:shd w:fill="C93B32"/>
            <w:tcMar>
              <w:top w:w="85" w:type="dxa"/>
              <w:start w:w="130" w:type="dxa"/>
              <w:bottom w:w="75" w:type="dxa"/>
              <w:end w:w="130" w:type="dxa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hAnsi="Arial"/>
                <w:b w:val="0"/>
                <w:i w:val="0"/>
                <w:color w:val="FFFFFF"/>
                <w:sz w:val="24"/>
              </w:rPr>
              <w:t>FOR</w:t>
            </w:r>
          </w:p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50"/>
              </w:rPr>
              <w:t>LEASE</w:t>
            </w:r>
          </w:p>
        </w:tc>
      </w:tr>
    </w:tbl>
    <w:p>
      <w:pPr>
        <w:spacing w:after="0"/>
      </w:pPr>
    </w:p>
    <w:tbl>
      <w:tblPr>
        <w:tblW w:type="dxa" w:w="14616"/>
        <w:tblLayout w:type="fixed"/>
        <w:tblLook w:firstColumn="1" w:firstRow="1" w:lastColumn="0" w:lastRow="0" w:noHBand="0" w:noVBand="1" w:val="04A0"/>
        <w:jc w:val="center"/>
        <w:tblBorders>
          <w:top w:val="nil" w:sz="0" w:color="FFFFFF"/>
          <w:left w:val="nil" w:sz="0" w:color="FFFFFF"/>
          <w:bottom w:val="nil" w:sz="0" w:color="FFFFFF"/>
          <w:right w:val="nil" w:sz="0" w:color="FFFFFF"/>
          <w:insideH w:val="nil" w:sz="0" w:color="FFFFFF"/>
          <w:insideV w:val="nil" w:sz="0" w:color="FFFFFF"/>
        </w:tblBorders>
      </w:tblPr>
      <w:tblGrid>
        <w:gridCol w:w="7200"/>
        <w:gridCol w:w="7416"/>
      </w:tblGrid>
      <w:tr>
        <w:tc>
          <w:tcPr>
            <w:tcW w:type="dxa" w:w="7200"/>
            <w:tcMar>
              <w:top w:w="90" w:type="dxa"/>
              <w:start w:w="120" w:type="dxa"/>
              <w:bottom w:w="75" w:type="dxa"/>
              <w:end w:w="120" w:type="dxa"/>
            </w:tcMar>
            <w:shd w:fill="F3F1EC"/>
          </w:tcPr>
          <w:p>
            <w:pPr>
              <w:spacing w:after="0" w:before="0"/>
            </w:pPr>
            <w:r>
              <w:rPr>
                <w:rFonts w:ascii="Arial" w:hAnsi="Arial"/>
                <w:b/>
                <w:i w:val="0"/>
                <w:color w:val="17384D"/>
                <w:sz w:val="22"/>
              </w:rPr>
              <w:t>SUITE 111 FLOOR PLAN</w:t>
            </w:r>
          </w:p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2880360" cy="2157984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uite111_floorplan_clean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360" cy="215798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0"/>
            </w:pPr>
            <w:r>
              <w:rPr>
                <w:rFonts w:ascii="Arial" w:hAnsi="Arial"/>
                <w:b w:val="0"/>
                <w:i/>
                <w:color w:val="5E666B"/>
                <w:sz w:val="12"/>
              </w:rPr>
              <w:t>Conceptual plan shown for orientation; tenant to verify dimensions and suitability.</w:t>
            </w:r>
          </w:p>
        </w:tc>
        <w:tc>
          <w:tcPr>
            <w:tcW w:type="dxa" w:w="7416"/>
            <w:tcMar>
              <w:top w:w="90" w:type="dxa"/>
              <w:start w:w="120" w:type="dxa"/>
              <w:bottom w:w="75" w:type="dxa"/>
              <w:end w:w="120" w:type="dxa"/>
            </w:tcMar>
            <w:shd w:fill="17384D"/>
          </w:tcPr>
          <w:p>
            <w:pPr>
              <w:spacing w:after="0" w:before="0"/>
            </w:pPr>
            <w:r>
              <w:rPr>
                <w:rFonts w:ascii="Arial" w:hAnsi="Arial"/>
                <w:b/>
                <w:i w:val="0"/>
                <w:color w:val="C5A33A"/>
                <w:sz w:val="22"/>
              </w:rPr>
              <w:t>NEWPORT BEACH DEMOGRAPHICS</w:t>
            </w:r>
          </w:p>
          <w:tbl>
            <w:tblPr>
              <w:tblW w:type="dxa" w:w="6854"/>
              <w:tblLayout w:type="fixed"/>
              <w:tblLook w:firstColumn="1" w:firstRow="1" w:lastColumn="0" w:lastRow="0" w:noHBand="0" w:noVBand="1" w:val="04A0"/>
              <w:tblBorders>
                <w:top w:val="nil" w:sz="0" w:color="FFFFFF"/>
                <w:left w:val="nil" w:sz="0" w:color="FFFFFF"/>
                <w:bottom w:val="nil" w:sz="0" w:color="FFFFFF"/>
                <w:right w:val="nil" w:sz="0" w:color="FFFFFF"/>
                <w:insideH w:val="nil" w:sz="0" w:color="FFFFFF"/>
                <w:insideV w:val="nil" w:sz="0" w:color="FFFFFF"/>
              </w:tblBorders>
            </w:tblPr>
            <w:tblGrid>
              <w:gridCol w:w="3427"/>
              <w:gridCol w:w="3427"/>
            </w:tblGrid>
            <w:tr>
              <w:tc>
                <w:tcPr>
                  <w:tcW w:type="dxa" w:w="3427"/>
                  <w:shd w:fill="FFFFFF"/>
                  <w:tcMar>
                    <w:top w:w="75" w:type="dxa"/>
                    <w:start w:w="80" w:type="dxa"/>
                    <w:bottom w:w="70" w:type="dxa"/>
                    <w:end w:w="80" w:type="dxa"/>
                  </w:tcMar>
                </w:tcPr>
                <w:p>
                  <w:pPr>
                    <w:spacing w:after="0" w:before="0"/>
                    <w:jc w:val="center"/>
                  </w:pPr>
                  <w:r>
                    <w:rPr>
                      <w:rFonts w:ascii="Arial" w:hAnsi="Arial"/>
                      <w:b/>
                      <w:i w:val="0"/>
                      <w:color w:val="17384D"/>
                      <w:sz w:val="28"/>
                    </w:rPr>
                    <w:t>$156,867</w:t>
                  </w:r>
                </w:p>
                <w:p>
                  <w:pPr>
                    <w:spacing w:after="0"/>
                    <w:jc w:val="center"/>
                  </w:pPr>
                  <w:r>
                    <w:rPr>
                      <w:rFonts w:ascii="Arial" w:hAnsi="Arial"/>
                      <w:b/>
                      <w:i w:val="0"/>
                      <w:color w:val="5E666B"/>
                      <w:sz w:val="12"/>
                    </w:rPr>
                    <w:t>MEDIAN HOUSEHOLD INCOME</w:t>
                  </w:r>
                </w:p>
              </w:tc>
              <w:tc>
                <w:tcPr>
                  <w:tcW w:type="dxa" w:w="3427"/>
                  <w:shd w:fill="FFFFFF"/>
                  <w:tcMar>
                    <w:top w:w="75" w:type="dxa"/>
                    <w:start w:w="80" w:type="dxa"/>
                    <w:bottom w:w="70" w:type="dxa"/>
                    <w:end w:w="80" w:type="dxa"/>
                  </w:tcMar>
                </w:tcPr>
                <w:p>
                  <w:pPr>
                    <w:spacing w:after="0" w:before="0"/>
                    <w:jc w:val="center"/>
                  </w:pPr>
                  <w:r>
                    <w:rPr>
                      <w:rFonts w:ascii="Arial" w:hAnsi="Arial"/>
                      <w:b/>
                      <w:i w:val="0"/>
                      <w:color w:val="17384D"/>
                      <w:sz w:val="28"/>
                    </w:rPr>
                    <w:t>$112,622</w:t>
                  </w:r>
                </w:p>
                <w:p>
                  <w:pPr>
                    <w:spacing w:after="0"/>
                    <w:jc w:val="center"/>
                  </w:pPr>
                  <w:r>
                    <w:rPr>
                      <w:rFonts w:ascii="Arial" w:hAnsi="Arial"/>
                      <w:b/>
                      <w:i w:val="0"/>
                      <w:color w:val="5E666B"/>
                      <w:sz w:val="12"/>
                    </w:rPr>
                    <w:t>PER-CAPITA INCOME</w:t>
                  </w:r>
                </w:p>
              </w:tc>
            </w:tr>
            <w:tr>
              <w:tc>
                <w:tcPr>
                  <w:tcW w:type="dxa" w:w="3427"/>
                  <w:shd w:fill="FFFFFF"/>
                  <w:tcMar>
                    <w:top w:w="75" w:type="dxa"/>
                    <w:start w:w="80" w:type="dxa"/>
                    <w:bottom w:w="70" w:type="dxa"/>
                    <w:end w:w="80" w:type="dxa"/>
                  </w:tcMar>
                </w:tcPr>
                <w:p>
                  <w:pPr>
                    <w:spacing w:after="0" w:before="0"/>
                    <w:jc w:val="center"/>
                  </w:pPr>
                  <w:r>
                    <w:rPr>
                      <w:rFonts w:ascii="Arial" w:hAnsi="Arial"/>
                      <w:b/>
                      <w:i w:val="0"/>
                      <w:color w:val="17384D"/>
                      <w:sz w:val="28"/>
                    </w:rPr>
                    <w:t>69.6%</w:t>
                  </w:r>
                </w:p>
                <w:p>
                  <w:pPr>
                    <w:spacing w:after="0"/>
                    <w:jc w:val="center"/>
                  </w:pPr>
                  <w:r>
                    <w:rPr>
                      <w:rFonts w:ascii="Arial" w:hAnsi="Arial"/>
                      <w:b/>
                      <w:i w:val="0"/>
                      <w:color w:val="5E666B"/>
                      <w:sz w:val="12"/>
                    </w:rPr>
                    <w:t>BACHELOR'S DEGREE OR HIGHER</w:t>
                  </w:r>
                </w:p>
              </w:tc>
              <w:tc>
                <w:tcPr>
                  <w:tcW w:type="dxa" w:w="3427"/>
                  <w:shd w:fill="FFFFFF"/>
                  <w:tcMar>
                    <w:top w:w="75" w:type="dxa"/>
                    <w:start w:w="80" w:type="dxa"/>
                    <w:bottom w:w="70" w:type="dxa"/>
                    <w:end w:w="80" w:type="dxa"/>
                  </w:tcMar>
                </w:tcPr>
                <w:p>
                  <w:pPr>
                    <w:spacing w:after="0" w:before="0"/>
                    <w:jc w:val="center"/>
                  </w:pPr>
                  <w:r>
                    <w:rPr>
                      <w:rFonts w:ascii="Arial" w:hAnsi="Arial"/>
                      <w:b/>
                      <w:i w:val="0"/>
                      <w:color w:val="17384D"/>
                      <w:sz w:val="28"/>
                    </w:rPr>
                    <w:t>$2.0M+</w:t>
                  </w:r>
                </w:p>
                <w:p>
                  <w:pPr>
                    <w:spacing w:after="0"/>
                    <w:jc w:val="center"/>
                  </w:pPr>
                  <w:r>
                    <w:rPr>
                      <w:rFonts w:ascii="Arial" w:hAnsi="Arial"/>
                      <w:b/>
                      <w:i w:val="0"/>
                      <w:color w:val="5E666B"/>
                      <w:sz w:val="12"/>
                    </w:rPr>
                    <w:t>MEDIAN OWNER-OCCUPIED HOME VALUE</w:t>
                  </w:r>
                </w:p>
              </w:tc>
            </w:tr>
            <w:tr>
              <w:tc>
                <w:tcPr>
                  <w:tcW w:type="dxa" w:w="3427"/>
                  <w:shd w:fill="FFFFFF"/>
                  <w:tcMar>
                    <w:top w:w="75" w:type="dxa"/>
                    <w:start w:w="80" w:type="dxa"/>
                    <w:bottom w:w="70" w:type="dxa"/>
                    <w:end w:w="80" w:type="dxa"/>
                  </w:tcMar>
                </w:tcPr>
                <w:p>
                  <w:pPr>
                    <w:spacing w:after="0" w:before="0"/>
                    <w:jc w:val="center"/>
                  </w:pPr>
                  <w:r>
                    <w:rPr>
                      <w:rFonts w:ascii="Arial" w:hAnsi="Arial"/>
                      <w:b/>
                      <w:i w:val="0"/>
                      <w:color w:val="17384D"/>
                      <w:sz w:val="28"/>
                    </w:rPr>
                    <w:t>$47,919</w:t>
                  </w:r>
                </w:p>
                <w:p>
                  <w:pPr>
                    <w:spacing w:after="0"/>
                    <w:jc w:val="center"/>
                  </w:pPr>
                  <w:r>
                    <w:rPr>
                      <w:rFonts w:ascii="Arial" w:hAnsi="Arial"/>
                      <w:b/>
                      <w:i w:val="0"/>
                      <w:color w:val="5E666B"/>
                      <w:sz w:val="12"/>
                    </w:rPr>
                    <w:t>ANNUAL RETAIL SALES PER CAPITA</w:t>
                  </w:r>
                </w:p>
              </w:tc>
              <w:tc>
                <w:tcPr>
                  <w:tcW w:type="dxa" w:w="3427"/>
                  <w:shd w:fill="FFFFFF"/>
                  <w:tcMar>
                    <w:top w:w="75" w:type="dxa"/>
                    <w:start w:w="80" w:type="dxa"/>
                    <w:bottom w:w="70" w:type="dxa"/>
                    <w:end w:w="80" w:type="dxa"/>
                  </w:tcMar>
                </w:tcPr>
                <w:p>
                  <w:pPr>
                    <w:spacing w:after="0" w:before="0"/>
                    <w:jc w:val="center"/>
                  </w:pPr>
                  <w:r>
                    <w:rPr>
                      <w:rFonts w:ascii="Arial" w:hAnsi="Arial"/>
                      <w:b/>
                      <w:i w:val="0"/>
                      <w:color w:val="17384D"/>
                      <w:sz w:val="28"/>
                    </w:rPr>
                    <w:t>22.9 min</w:t>
                  </w:r>
                </w:p>
                <w:p>
                  <w:pPr>
                    <w:spacing w:after="0"/>
                    <w:jc w:val="center"/>
                  </w:pPr>
                  <w:r>
                    <w:rPr>
                      <w:rFonts w:ascii="Arial" w:hAnsi="Arial"/>
                      <w:b/>
                      <w:i w:val="0"/>
                      <w:color w:val="5E666B"/>
                      <w:sz w:val="12"/>
                    </w:rPr>
                    <w:t>MEAN COMMUTE TIME</w:t>
                  </w:r>
                </w:p>
              </w:tc>
            </w:tr>
          </w:tbl>
          <w:p/>
          <w:p>
            <w:pPr>
              <w:spacing w:after="0"/>
            </w:pPr>
            <w:r>
              <w:rPr>
                <w:rFonts w:ascii="Arial" w:hAnsi="Arial"/>
                <w:b w:val="0"/>
                <w:i w:val="0"/>
                <w:color w:val="D7E1E6"/>
                <w:sz w:val="11"/>
              </w:rPr>
              <w:t>Sources: U.S. Census Bureau QuickFacts and ACS 2024 estimates.</w:t>
            </w:r>
          </w:p>
          <w:p>
            <w:pPr>
              <w:spacing w:before="0" w:after="0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3429000" cy="1207008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building_photo_wid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120700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before="100" w:after="80"/>
      </w:pPr>
      <w:r>
        <w:rPr>
          <w:rFonts w:ascii="Arial" w:hAnsi="Arial"/>
          <w:b/>
          <w:i w:val="0"/>
          <w:color w:val="17384D"/>
          <w:sz w:val="26"/>
        </w:rPr>
        <w:t>TENANT-FOCUSED SELLING POINTS</w:t>
      </w:r>
    </w:p>
    <w:tbl>
      <w:tblPr>
        <w:tblW w:type="dxa" w:w="14630"/>
        <w:tblLayout w:type="fixed"/>
        <w:tblLook w:firstColumn="1" w:firstRow="1" w:lastColumn="0" w:lastRow="0" w:noHBand="0" w:noVBand="1" w:val="04A0"/>
        <w:jc w:val="center"/>
        <w:tblBorders>
          <w:top w:val="nil" w:sz="0" w:color="FFFFFF"/>
          <w:left w:val="nil" w:sz="0" w:color="FFFFFF"/>
          <w:bottom w:val="nil" w:sz="0" w:color="FFFFFF"/>
          <w:right w:val="nil" w:sz="0" w:color="FFFFFF"/>
          <w:insideH w:val="nil" w:sz="0" w:color="FFFFFF"/>
          <w:insideV w:val="nil" w:sz="0" w:color="FFFFFF"/>
        </w:tblBorders>
      </w:tblPr>
      <w:tblGrid>
        <w:gridCol w:w="4867"/>
        <w:gridCol w:w="4867"/>
        <w:gridCol w:w="4896"/>
      </w:tblGrid>
      <w:tr>
        <w:tc>
          <w:tcPr>
            <w:tcW w:type="dxa" w:w="4867"/>
            <w:shd w:fill="F3F1EC"/>
            <w:tcMar>
              <w:top w:w="85" w:type="dxa"/>
              <w:start w:w="120" w:type="dxa"/>
              <w:bottom w:w="80" w:type="dxa"/>
              <w:end w:w="12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b/>
                <w:i w:val="0"/>
                <w:color w:val="C5A33A"/>
                <w:sz w:val="18"/>
              </w:rPr>
              <w:t>CLIENT CONVENIENCE</w:t>
            </w:r>
          </w:p>
          <w:p>
            <w:pPr>
              <w:pStyle w:val="ListBullet"/>
              <w:spacing w:after="40" w:line="240" w:lineRule="auto"/>
            </w:pPr>
            <w:r>
              <w:rPr>
                <w:rFonts w:ascii="Arial" w:hAnsi="Arial"/>
                <w:b w:val="0"/>
                <w:i w:val="0"/>
                <w:color w:val="5E666B"/>
                <w:sz w:val="15"/>
              </w:rPr>
              <w:t>Free surface parking</w:t>
            </w:r>
          </w:p>
          <w:p>
            <w:pPr>
              <w:pStyle w:val="ListBullet"/>
              <w:spacing w:after="40" w:line="240" w:lineRule="auto"/>
            </w:pPr>
            <w:r>
              <w:rPr>
                <w:rFonts w:ascii="Arial" w:hAnsi="Arial"/>
                <w:b w:val="0"/>
                <w:i w:val="0"/>
                <w:color w:val="5E666B"/>
                <w:sz w:val="15"/>
              </w:rPr>
              <w:t>Elevator service</w:t>
            </w:r>
          </w:p>
          <w:p>
            <w:pPr>
              <w:pStyle w:val="ListBullet"/>
              <w:spacing w:after="40" w:line="240" w:lineRule="auto"/>
            </w:pPr>
            <w:r>
              <w:rPr>
                <w:rFonts w:ascii="Arial" w:hAnsi="Arial"/>
                <w:b w:val="0"/>
                <w:i w:val="0"/>
                <w:color w:val="5E666B"/>
                <w:sz w:val="15"/>
              </w:rPr>
              <w:t>Wheelchair-accessible building</w:t>
            </w:r>
          </w:p>
          <w:p>
            <w:pPr>
              <w:pStyle w:val="ListBullet"/>
              <w:spacing w:after="40" w:line="240" w:lineRule="auto"/>
            </w:pPr>
            <w:r>
              <w:rPr>
                <w:rFonts w:ascii="Arial" w:hAnsi="Arial"/>
                <w:b w:val="0"/>
                <w:i w:val="0"/>
                <w:color w:val="5E666B"/>
                <w:sz w:val="15"/>
              </w:rPr>
              <w:t>Immediate availability</w:t>
            </w:r>
          </w:p>
        </w:tc>
        <w:tc>
          <w:tcPr>
            <w:tcW w:type="dxa" w:w="4867"/>
            <w:shd w:fill="F3F1EC"/>
            <w:tcMar>
              <w:top w:w="85" w:type="dxa"/>
              <w:start w:w="120" w:type="dxa"/>
              <w:bottom w:w="80" w:type="dxa"/>
              <w:end w:w="12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b/>
                <w:i w:val="0"/>
                <w:color w:val="C5A33A"/>
                <w:sz w:val="18"/>
              </w:rPr>
              <w:t>BRAND VISIBILITY</w:t>
            </w:r>
          </w:p>
          <w:p>
            <w:pPr>
              <w:pStyle w:val="ListBullet"/>
              <w:spacing w:after="40" w:line="240" w:lineRule="auto"/>
            </w:pPr>
            <w:r>
              <w:rPr>
                <w:rFonts w:ascii="Arial" w:hAnsi="Arial"/>
                <w:b w:val="0"/>
                <w:i w:val="0"/>
                <w:color w:val="5E666B"/>
                <w:sz w:val="15"/>
              </w:rPr>
              <w:t>Newport Center Drive address</w:t>
            </w:r>
          </w:p>
          <w:p>
            <w:pPr>
              <w:pStyle w:val="ListBullet"/>
              <w:spacing w:after="40" w:line="240" w:lineRule="auto"/>
            </w:pPr>
            <w:r>
              <w:rPr>
                <w:rFonts w:ascii="Arial" w:hAnsi="Arial"/>
                <w:b w:val="0"/>
                <w:i w:val="0"/>
                <w:color w:val="5E666B"/>
                <w:sz w:val="15"/>
              </w:rPr>
              <w:t>Exterior signage opportunity, subject to approval</w:t>
            </w:r>
          </w:p>
          <w:p>
            <w:pPr>
              <w:pStyle w:val="ListBullet"/>
              <w:spacing w:after="40" w:line="240" w:lineRule="auto"/>
            </w:pPr>
            <w:r>
              <w:rPr>
                <w:rFonts w:ascii="Arial" w:hAnsi="Arial"/>
                <w:b w:val="0"/>
                <w:i w:val="0"/>
                <w:color w:val="5E666B"/>
                <w:sz w:val="15"/>
              </w:rPr>
              <w:t>Corner and window-office options</w:t>
            </w:r>
          </w:p>
          <w:p>
            <w:pPr>
              <w:pStyle w:val="ListBullet"/>
              <w:spacing w:after="40" w:line="240" w:lineRule="auto"/>
            </w:pPr>
            <w:r>
              <w:rPr>
                <w:rFonts w:ascii="Arial" w:hAnsi="Arial"/>
                <w:b w:val="0"/>
                <w:i w:val="0"/>
                <w:color w:val="5E666B"/>
                <w:sz w:val="15"/>
              </w:rPr>
              <w:t>Boutique, easy-to-find building</w:t>
            </w:r>
          </w:p>
        </w:tc>
        <w:tc>
          <w:tcPr>
            <w:tcW w:type="dxa" w:w="4896"/>
            <w:shd w:fill="F3F1EC"/>
            <w:tcMar>
              <w:top w:w="85" w:type="dxa"/>
              <w:start w:w="120" w:type="dxa"/>
              <w:bottom w:w="80" w:type="dxa"/>
              <w:end w:w="12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b/>
                <w:i w:val="0"/>
                <w:color w:val="C5A33A"/>
                <w:sz w:val="18"/>
              </w:rPr>
              <w:t>AMENITY-RICH SETTING</w:t>
            </w:r>
          </w:p>
          <w:p>
            <w:pPr>
              <w:pStyle w:val="ListBullet"/>
              <w:spacing w:after="40" w:line="240" w:lineRule="auto"/>
            </w:pPr>
            <w:r>
              <w:rPr>
                <w:rFonts w:ascii="Arial" w:hAnsi="Arial"/>
                <w:b w:val="0"/>
                <w:i w:val="0"/>
                <w:color w:val="5E666B"/>
                <w:sz w:val="15"/>
              </w:rPr>
              <w:t>Walkable to Fashion Island shopping and dining</w:t>
            </w:r>
          </w:p>
          <w:p>
            <w:pPr>
              <w:pStyle w:val="ListBullet"/>
              <w:spacing w:after="40" w:line="240" w:lineRule="auto"/>
            </w:pPr>
            <w:r>
              <w:rPr>
                <w:rFonts w:ascii="Arial" w:hAnsi="Arial"/>
                <w:b w:val="0"/>
                <w:i w:val="0"/>
                <w:color w:val="5E666B"/>
                <w:sz w:val="15"/>
              </w:rPr>
              <w:t>Convenient to PCH, MacArthur Boulevard and SR-73</w:t>
            </w:r>
          </w:p>
          <w:p>
            <w:pPr>
              <w:pStyle w:val="ListBullet"/>
              <w:spacing w:after="40" w:line="240" w:lineRule="auto"/>
            </w:pPr>
            <w:r>
              <w:rPr>
                <w:rFonts w:ascii="Arial" w:hAnsi="Arial"/>
                <w:b w:val="0"/>
                <w:i w:val="0"/>
                <w:color w:val="5E666B"/>
                <w:sz w:val="15"/>
              </w:rPr>
              <w:t>Minutes to coastal communities and John Wayne Airport</w:t>
            </w:r>
          </w:p>
          <w:p>
            <w:pPr>
              <w:pStyle w:val="ListBullet"/>
              <w:spacing w:after="40" w:line="240" w:lineRule="auto"/>
            </w:pPr>
            <w:r>
              <w:rPr>
                <w:rFonts w:ascii="Arial" w:hAnsi="Arial"/>
                <w:b w:val="0"/>
                <w:i w:val="0"/>
                <w:color w:val="5E666B"/>
                <w:sz w:val="15"/>
              </w:rPr>
              <w:t>Strong professional and medical referral base</w:t>
            </w:r>
          </w:p>
        </w:tc>
      </w:tr>
    </w:tbl>
    <w:p>
      <w:pPr>
        <w:spacing w:before="0" w:after="0"/>
      </w:pPr>
      <w:r>
        <w:rPr>
          <w:rFonts w:ascii="Arial" w:hAnsi="Arial"/>
          <w:b/>
          <w:i w:val="0"/>
          <w:color w:val="17384D"/>
          <w:sz w:val="24"/>
        </w:rPr>
        <w:t>IDEAL FOR</w:t>
      </w:r>
    </w:p>
    <w:p>
      <w:pPr>
        <w:spacing w:after="0" w:before="0"/>
        <w:jc w:val="center"/>
      </w:pPr>
      <w:r>
        <w:rPr>
          <w:rFonts w:ascii="Arial" w:hAnsi="Arial"/>
          <w:b/>
          <w:i w:val="0"/>
          <w:color w:val="17384D"/>
          <w:sz w:val="18"/>
        </w:rPr>
        <w:t>Medical &amp; wellness  •  Therapy &amp; counseling  •  Professional office  •  Beauty &amp; aesthetics  •  Boutique service retail</w:t>
      </w:r>
    </w:p>
    <w:tbl>
      <w:tblPr>
        <w:tblW w:type="dxa" w:w="14616"/>
        <w:tblLayout w:type="fixed"/>
        <w:tblLook w:firstColumn="1" w:firstRow="1" w:lastColumn="0" w:lastRow="0" w:noHBand="0" w:noVBand="1" w:val="04A0"/>
        <w:jc w:val="center"/>
        <w:tblBorders>
          <w:top w:val="nil" w:sz="0" w:color="FFFFFF"/>
          <w:left w:val="nil" w:sz="0" w:color="FFFFFF"/>
          <w:bottom w:val="nil" w:sz="0" w:color="FFFFFF"/>
          <w:right w:val="nil" w:sz="0" w:color="FFFFFF"/>
          <w:insideH w:val="nil" w:sz="0" w:color="FFFFFF"/>
          <w:insideV w:val="nil" w:sz="0" w:color="FFFFFF"/>
        </w:tblBorders>
      </w:tblPr>
      <w:tblGrid>
        <w:gridCol w:w="1800"/>
        <w:gridCol w:w="8496"/>
        <w:gridCol w:w="4320"/>
      </w:tblGrid>
      <w:tr>
        <w:tc>
          <w:tcPr>
            <w:tcW w:type="dxa" w:w="1800"/>
            <w:shd w:fill="17384D"/>
            <w:tcMar>
              <w:top w:w="80" w:type="dxa"/>
              <w:start w:w="120" w:type="dxa"/>
              <w:bottom w:w="70" w:type="dxa"/>
              <w:end w:w="120" w:type="dxa"/>
            </w:tcMar>
            <w:vAlign w:val="center"/>
          </w:tcPr>
          <w:p>
            <w:pPr>
              <w:spacing w:after="0" w:before="0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822960" cy="920219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ortrait_contact.pn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960" cy="920219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8496"/>
            <w:shd w:fill="17384D"/>
            <w:tcMar>
              <w:top w:w="80" w:type="dxa"/>
              <w:start w:w="120" w:type="dxa"/>
              <w:bottom w:w="70" w:type="dxa"/>
              <w:end w:w="120" w:type="dxa"/>
            </w:tcMar>
            <w:vAlign w:val="center"/>
          </w:tcPr>
          <w:p>
            <w:pPr>
              <w:spacing w:after="0" w:before="0"/>
            </w:pPr>
            <w:r>
              <w:rPr>
                <w:rFonts w:ascii="Arial" w:hAnsi="Arial"/>
                <w:b/>
                <w:i w:val="0"/>
                <w:color w:val="C5A33A"/>
                <w:sz w:val="20"/>
              </w:rPr>
              <w:t>KAREN A. SUNDAY</w:t>
            </w:r>
          </w:p>
          <w:p>
            <w:pPr>
              <w:spacing w:after="0"/>
            </w:pPr>
            <w:r>
              <w:rPr>
                <w:rFonts w:ascii="Arial" w:hAnsi="Arial"/>
                <w:b w:val="0"/>
                <w:i w:val="0"/>
                <w:color w:val="FFFFFF"/>
                <w:sz w:val="14"/>
              </w:rPr>
              <w:t>Karen A. Sunday &amp; Associates, Inc. | Commercial Real Estate Broker</w:t>
            </w:r>
          </w:p>
          <w:p>
            <w:pPr>
              <w:spacing w:after="0"/>
            </w:pPr>
            <w:r>
              <w:rPr>
                <w:rFonts w:ascii="Arial" w:hAnsi="Arial"/>
                <w:b w:val="0"/>
                <w:i w:val="0"/>
                <w:color w:val="FFFFFF"/>
                <w:sz w:val="14"/>
              </w:rPr>
              <w:t>CA DRE Broker License #01883124</w:t>
            </w:r>
          </w:p>
        </w:tc>
        <w:tc>
          <w:tcPr>
            <w:tcW w:type="dxa" w:w="4320"/>
            <w:shd w:fill="17384D"/>
            <w:tcMar>
              <w:top w:w="80" w:type="dxa"/>
              <w:start w:w="120" w:type="dxa"/>
              <w:bottom w:w="70" w:type="dxa"/>
              <w:end w:w="120" w:type="dxa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hAnsi="Arial"/>
                <w:b/>
                <w:i w:val="0"/>
                <w:color w:val="FFFFFF"/>
                <w:sz w:val="20"/>
              </w:rPr>
              <w:t>(949) 632-7727</w:t>
            </w:r>
          </w:p>
          <w:p>
            <w:pPr>
              <w:spacing w:after="0"/>
              <w:jc w:val="right"/>
            </w:pPr>
            <w:r>
              <w:rPr>
                <w:rFonts w:ascii="Arial" w:hAnsi="Arial"/>
                <w:b/>
                <w:i w:val="0"/>
                <w:color w:val="C5A33A"/>
                <w:sz w:val="17"/>
              </w:rPr>
              <w:t>Karen@karensunday.com</w:t>
            </w:r>
          </w:p>
          <w:p>
            <w:pPr>
              <w:spacing w:after="0"/>
              <w:jc w:val="right"/>
            </w:pPr>
            <w:r>
              <w:rPr>
                <w:rFonts w:ascii="Arial" w:hAnsi="Arial"/>
                <w:b w:val="0"/>
                <w:i w:val="0"/>
                <w:color w:val="FFFFFF"/>
                <w:sz w:val="13"/>
              </w:rPr>
              <w:t>23 Corporate Plaza Drive, Suite 150 | Newport Beach, CA 92660</w:t>
            </w:r>
          </w:p>
        </w:tc>
      </w:tr>
    </w:tbl>
    <w:p>
      <w:pPr>
        <w:spacing w:before="60" w:after="0"/>
        <w:jc w:val="center"/>
      </w:pPr>
      <w:r>
        <w:rPr>
          <w:rFonts w:ascii="Arial" w:hAnsi="Arial"/>
          <w:b w:val="0"/>
          <w:i w:val="0"/>
          <w:color w:val="5E666B"/>
          <w:sz w:val="11"/>
        </w:rPr>
        <w:t>Information is from sources believed reliable but is not guaranteed. Tenant must verify zoning, permitted use, dimensions, parking, signage and lease terms. Availability and economics are subject to change.</w:t>
      </w:r>
    </w:p>
    <w:sectPr w:rsidR="00FC693F" w:rsidRPr="0006063C" w:rsidSect="00034616">
      <w:pgSz w:w="15840" w:h="12240" w:orient="landscape"/>
      <w:pgMar w:top="461" w:right="547" w:bottom="403" w:left="5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40"/>
    </w:pPr>
    <w:rPr>
      <w:rFonts w:ascii="Arial" w:hAnsi="Arial"/>
      <w:color w:val="5E666B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rFonts w:ascii="Arial" w:hAnsi="Arial"/>
      <w:sz w:val="17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eg"/><Relationship Id="rId10" Type="http://schemas.openxmlformats.org/officeDocument/2006/relationships/image" Target="media/image2.png"/><Relationship Id="rId11" Type="http://schemas.openxmlformats.org/officeDocument/2006/relationships/image" Target="media/image3.jpeg"/><Relationship Id="rId12" Type="http://schemas.openxmlformats.org/officeDocument/2006/relationships/image" Target="media/image4.png"/><Relationship Id="rId13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 Newport Center Drive Lease Flyer</dc:title>
  <dc:subject>Suites 111 and 300 - Newport Beach</dc:subject>
  <dc:creator>Karen A. Sunday &amp; Associates, Inc.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