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pPr>
        <w:pStyle w:val="Section"/>
        <w:pBdr/>
        <w:spacing/>
        <w:rPr/>
      </w:pPr>
      <w:r>
        <w:rPr/>
        <w:t xml:space="preserve">Sec. 2.02.</w:t>
      </w:r>
      <w:r>
        <w:rPr/>
        <w:t xml:space="preserve"> </w:t>
      </w:r>
      <w:r>
        <w:rPr/>
        <w:t xml:space="preserve">Permitted uses, accessory uses and uses permitted by special exception.</w:t>
      </w:r>
    </w:p>
    <w:p>
      <w:pPr>
        <w:pStyle w:val="List1"/>
        <w:pBdr/>
        <w:spacing/>
        <w:rPr/>
      </w:pPr>
      <w:r>
        <w:rPr/>
        <w:t xml:space="preserve">2.02.01.</w:t>
      </w:r>
      <w:r>
        <w:rPr/>
        <w:tab/>
        <w:t xml:space="preserve"/>
      </w:r>
      <w:r>
        <w:rPr>
          <w:i/>
        </w:rPr>
        <w:t xml:space="preserve">Permitted principal uses and structures.</w:t>
      </w:r>
      <w:r>
        <w:rPr/>
        <w:t xml:space="preserve"> Only the principal uses and structures indicated by a "P" in table 2.02.05 are permitted. </w:t>
      </w:r>
    </w:p>
    <w:p>
      <w:pPr>
        <w:pStyle w:val="List1"/>
        <w:pBdr/>
        <w:spacing/>
        <w:rPr/>
      </w:pPr>
      <w:r>
        <w:rPr/>
        <w:t xml:space="preserve">2.02.02.</w:t>
      </w:r>
      <w:r>
        <w:rPr/>
        <w:tab/>
        <w:t xml:space="preserve"/>
      </w:r>
      <w:r>
        <w:rPr>
          <w:i/>
        </w:rPr>
        <w:t xml:space="preserve">Permitted accessory uses and structures.</w:t>
      </w:r>
      <w:r>
        <w:rPr/>
        <w:t xml:space="preserve"> Only the accessory uses and structures indicated in table 2.02.06 are permitted. </w:t>
      </w:r>
    </w:p>
    <w:p>
      <w:pPr>
        <w:pStyle w:val="List1"/>
        <w:pBdr/>
        <w:spacing/>
        <w:rPr/>
      </w:pPr>
      <w:r>
        <w:rPr/>
        <w:t xml:space="preserve">2.02.03.</w:t>
      </w:r>
      <w:r>
        <w:rPr/>
        <w:tab/>
        <w:t xml:space="preserve"/>
      </w:r>
      <w:r>
        <w:rPr>
          <w:i/>
        </w:rPr>
        <w:t xml:space="preserve">Prohibited uses and structures.</w:t>
      </w:r>
      <w:r>
        <w:rPr/>
        <w:t xml:space="preserve"> All uses not specifically, provisionally, or by reasonable implication permitted herein or permissible by special exception are prohibited. The listed permitted or permissible uses contained in table 2.02.05 do not include the following, which are mentioned as specifically prohibited in district the agricultural conservative district for emphasis only: </w:t>
      </w:r>
    </w:p>
    <w:p>
      <w:pPr>
        <w:pStyle w:val="List2"/>
        <w:pBdr/>
        <w:spacing/>
        <w:rPr/>
      </w:pPr>
      <w:r>
        <w:rPr/>
        <w:t xml:space="preserve">a.</w:t>
      </w:r>
      <w:r>
        <w:rPr/>
        <w:tab/>
        <w:t xml:space="preserve"/>
      </w:r>
      <w:r>
        <w:rPr/>
        <w:t xml:space="preserve">Commercial, industrial, or manufacturing establishments, except as specifically provided. </w:t>
      </w:r>
    </w:p>
    <w:p>
      <w:pPr>
        <w:pStyle w:val="List2"/>
        <w:pBdr/>
        <w:spacing/>
        <w:rPr/>
      </w:pPr>
      <w:r>
        <w:rPr/>
        <w:t xml:space="preserve">b.</w:t>
      </w:r>
      <w:r>
        <w:rPr/>
        <w:tab/>
        <w:t xml:space="preserve"/>
      </w:r>
      <w:r>
        <w:rPr/>
        <w:t xml:space="preserve">Junk yards or automobile wrecking yards. </w:t>
      </w:r>
    </w:p>
    <w:p>
      <w:pPr>
        <w:pStyle w:val="List2"/>
        <w:pBdr/>
        <w:spacing/>
        <w:rPr/>
      </w:pPr>
      <w:r>
        <w:rPr/>
        <w:t xml:space="preserve">c.</w:t>
      </w:r>
      <w:r>
        <w:rPr/>
        <w:tab/>
        <w:t xml:space="preserve"/>
      </w:r>
      <w:r>
        <w:rPr/>
        <w:t xml:space="preserve">Wholesale warehouse or storage establishments, except as specifically provided. </w:t>
      </w:r>
    </w:p>
    <w:p>
      <w:pPr>
        <w:pStyle w:val="List2"/>
        <w:pBdr/>
        <w:spacing/>
        <w:rPr/>
      </w:pPr>
      <w:r>
        <w:rPr/>
        <w:t xml:space="preserve">d.</w:t>
      </w:r>
      <w:r>
        <w:rPr/>
        <w:tab/>
        <w:t xml:space="preserve"/>
      </w:r>
      <w:r>
        <w:rPr/>
        <w:t xml:space="preserve">Slaughterhouses for livestock or poultry. </w:t>
      </w:r>
    </w:p>
    <w:p>
      <w:pPr>
        <w:pStyle w:val="List2"/>
        <w:pBdr/>
        <w:spacing/>
        <w:rPr/>
      </w:pPr>
      <w:r>
        <w:rPr/>
        <w:t xml:space="preserve">e.</w:t>
      </w:r>
      <w:r>
        <w:rPr/>
        <w:tab/>
        <w:t xml:space="preserve"/>
      </w:r>
      <w:r>
        <w:rPr/>
        <w:t xml:space="preserve">All uses not listed as permitted or permissible uses. </w:t>
      </w:r>
    </w:p>
    <w:p>
      <w:pPr>
        <w:pStyle w:val="List2"/>
        <w:pBdr/>
        <w:spacing/>
        <w:rPr/>
      </w:pPr>
      <w:r>
        <w:rPr/>
        <w:t xml:space="preserve">f.</w:t>
      </w:r>
      <w:r>
        <w:rPr/>
        <w:tab/>
        <w:t xml:space="preserve"/>
      </w:r>
      <w:r>
        <w:rPr/>
        <w:t xml:space="preserve">All mining. </w:t>
      </w:r>
    </w:p>
    <w:p>
      <w:pPr>
        <w:pStyle w:val="List1"/>
        <w:pBdr/>
        <w:spacing/>
        <w:rPr/>
      </w:pPr>
      <w:r>
        <w:rPr/>
        <w:t xml:space="preserve">2.02.04.</w:t>
      </w:r>
      <w:r>
        <w:rPr/>
        <w:tab/>
        <w:t xml:space="preserve"/>
      </w:r>
      <w:r>
        <w:rPr>
          <w:i/>
        </w:rPr>
        <w:t xml:space="preserve">Special exceptions.</w:t>
      </w:r>
      <w:r>
        <w:rPr/>
        <w:t xml:space="preserve"> The uses indicated by an "SE" in table 2.02.05 are permitted only as special exceptions. </w:t>
      </w:r>
    </w:p>
    <w:p>
      <w:pPr>
        <w:pStyle w:val="List1"/>
        <w:pBdr/>
        <w:spacing/>
        <w:rPr/>
      </w:pPr>
      <w:r>
        <w:rPr/>
        <w:t xml:space="preserve">2.02.05.</w:t>
      </w:r>
      <w:r>
        <w:rPr/>
        <w:tab/>
        <w:t xml:space="preserve"/>
      </w:r>
      <w:r>
        <w:rPr>
          <w:i/>
        </w:rPr>
        <w:t xml:space="preserve">Permitted use, structure or activity and uses permitted by special exception table.</w:t>
      </w:r>
    </w:p>
    <w:tbl>
      <w:tblPr>
        <w:tblStyle w:val="Table1"/>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600"/>
        <w:gridCol w:w="563"/>
        <w:gridCol w:w="563"/>
        <w:gridCol w:w="564"/>
        <w:gridCol w:w="563"/>
        <w:gridCol w:w="563"/>
        <w:gridCol w:w="564"/>
        <w:gridCol w:w="563"/>
        <w:gridCol w:w="564"/>
        <w:gridCol w:w="563"/>
        <w:gridCol w:w="563"/>
        <w:gridCol w:w="564"/>
        <w:gridCol w:w="563"/>
      </w:tblGrid>
      <w:tr>
        <w:trPr/>
        <w:tc>
          <w:tcPr>
            <w:tcW w:type="pct" w:w="1389"/>
            <w:vMerge w:val="restart"/>
            <w:tcBorders/>
          </w:tcPr>
          <w:p>
            <w:pPr>
              <w:pBdr/>
              <w:spacing/>
              <w:jc w:val="left"/>
              <w:rPr/>
            </w:pPr>
            <w:r>
              <w:rPr>
                <w:sz w:val="24"/>
              </w:rPr>
              <w:t xml:space="preserve">Use, Structure or Activity </w:t>
            </w:r>
          </w:p>
        </w:tc>
        <w:tc>
          <w:tcPr>
            <w:tcW w:type="pct" w:w="3611"/>
            <w:gridSpan w:val="12"/>
            <w:tcBorders/>
          </w:tcPr>
          <w:p>
            <w:pPr>
              <w:pBdr/>
              <w:spacing/>
              <w:jc w:val="left"/>
              <w:rPr/>
            </w:pPr>
            <w:r>
              <w:rPr>
                <w:sz w:val="24"/>
              </w:rPr>
              <w:t xml:space="preserve">Zoning District </w:t>
            </w:r>
          </w:p>
        </w:tc>
      </w:tr>
      <w:tr>
        <w:trPr/>
        <w:tc>
          <w:tcPr>
            <w:tcW w:type="pct" w:w="1389"/>
            <w:vMerge w:val="continue"/>
            <w:tcBorders/>
          </w:tcPr>
          <w:p>
            <w:pPr>
              <w:pBdr/>
              <w:spacing/>
              <w:rPr/>
            </w:pPr>
          </w:p>
        </w:tc>
        <w:tc>
          <w:tcPr>
            <w:tcW w:type="pct" w:w="301"/>
            <w:tcBorders/>
          </w:tcPr>
          <w:p>
            <w:pPr>
              <w:pBdr/>
              <w:spacing/>
              <w:jc w:val="left"/>
              <w:rPr/>
            </w:pPr>
            <w:r>
              <w:rPr>
                <w:sz w:val="24"/>
              </w:rPr>
              <w:t xml:space="preserve">A-C </w:t>
            </w:r>
          </w:p>
        </w:tc>
        <w:tc>
          <w:tcPr>
            <w:tcW w:type="pct" w:w="301"/>
            <w:tcBorders/>
          </w:tcPr>
          <w:p>
            <w:pPr>
              <w:pBdr/>
              <w:spacing/>
              <w:jc w:val="left"/>
              <w:rPr/>
            </w:pPr>
            <w:r>
              <w:rPr>
                <w:sz w:val="24"/>
              </w:rPr>
              <w:t xml:space="preserve">R-1 </w:t>
            </w:r>
          </w:p>
        </w:tc>
        <w:tc>
          <w:tcPr>
            <w:tcW w:type="pct" w:w="301"/>
            <w:tcBorders/>
          </w:tcPr>
          <w:p>
            <w:pPr>
              <w:pBdr/>
              <w:spacing/>
              <w:jc w:val="left"/>
              <w:rPr/>
            </w:pPr>
            <w:r>
              <w:rPr>
                <w:sz w:val="24"/>
              </w:rPr>
              <w:t xml:space="preserve">R-2 </w:t>
            </w:r>
          </w:p>
        </w:tc>
        <w:tc>
          <w:tcPr>
            <w:tcW w:type="pct" w:w="301"/>
            <w:tcBorders/>
          </w:tcPr>
          <w:p>
            <w:pPr>
              <w:pBdr/>
              <w:spacing/>
              <w:jc w:val="left"/>
              <w:rPr/>
            </w:pPr>
            <w:r>
              <w:rPr>
                <w:sz w:val="24"/>
              </w:rPr>
              <w:t xml:space="preserve">R-3 </w:t>
            </w:r>
          </w:p>
        </w:tc>
        <w:tc>
          <w:tcPr>
            <w:tcW w:type="pct" w:w="301"/>
            <w:tcBorders/>
          </w:tcPr>
          <w:p>
            <w:pPr>
              <w:pBdr/>
              <w:spacing/>
              <w:jc w:val="left"/>
              <w:rPr/>
            </w:pPr>
            <w:r>
              <w:rPr>
                <w:sz w:val="24"/>
              </w:rPr>
              <w:t xml:space="preserve">R-4 </w:t>
            </w:r>
          </w:p>
        </w:tc>
        <w:tc>
          <w:tcPr>
            <w:tcW w:type="pct" w:w="301"/>
            <w:tcBorders/>
          </w:tcPr>
          <w:p>
            <w:pPr>
              <w:pBdr/>
              <w:spacing/>
              <w:jc w:val="left"/>
              <w:rPr/>
            </w:pPr>
            <w:r>
              <w:rPr>
                <w:sz w:val="24"/>
              </w:rPr>
              <w:t xml:space="preserve">MHP </w:t>
            </w:r>
          </w:p>
        </w:tc>
        <w:tc>
          <w:tcPr>
            <w:tcW w:type="pct" w:w="301"/>
            <w:tcBorders/>
          </w:tcPr>
          <w:p>
            <w:pPr>
              <w:pBdr/>
              <w:spacing/>
              <w:jc w:val="left"/>
              <w:rPr/>
            </w:pPr>
            <w:r>
              <w:rPr>
                <w:sz w:val="24"/>
              </w:rPr>
              <w:t xml:space="preserve">HC </w:t>
            </w:r>
          </w:p>
        </w:tc>
        <w:tc>
          <w:tcPr>
            <w:tcW w:type="pct" w:w="301"/>
            <w:tcBorders/>
          </w:tcPr>
          <w:p>
            <w:pPr>
              <w:pBdr/>
              <w:spacing/>
              <w:jc w:val="left"/>
              <w:rPr/>
            </w:pPr>
            <w:r>
              <w:rPr>
                <w:sz w:val="24"/>
              </w:rPr>
              <w:t xml:space="preserve">C-1 </w:t>
            </w:r>
          </w:p>
        </w:tc>
        <w:tc>
          <w:tcPr>
            <w:tcW w:type="pct" w:w="301"/>
            <w:tcBorders/>
          </w:tcPr>
          <w:p>
            <w:pPr>
              <w:pBdr/>
              <w:spacing/>
              <w:jc w:val="left"/>
              <w:rPr/>
            </w:pPr>
            <w:r>
              <w:rPr>
                <w:sz w:val="24"/>
              </w:rPr>
              <w:t xml:space="preserve">C-2 </w:t>
            </w:r>
          </w:p>
        </w:tc>
        <w:tc>
          <w:tcPr>
            <w:tcW w:type="pct" w:w="301"/>
            <w:tcBorders/>
          </w:tcPr>
          <w:p>
            <w:pPr>
              <w:pBdr/>
              <w:spacing/>
              <w:jc w:val="left"/>
              <w:rPr/>
            </w:pPr>
            <w:r>
              <w:rPr>
                <w:sz w:val="24"/>
              </w:rPr>
              <w:t xml:space="preserve">G-U </w:t>
            </w:r>
          </w:p>
        </w:tc>
        <w:tc>
          <w:tcPr>
            <w:tcW w:type="pct" w:w="301"/>
            <w:tcBorders/>
          </w:tcPr>
          <w:p>
            <w:pPr>
              <w:pBdr/>
              <w:spacing/>
              <w:jc w:val="left"/>
              <w:rPr/>
            </w:pPr>
            <w:r>
              <w:rPr>
                <w:sz w:val="24"/>
              </w:rPr>
              <w:t xml:space="preserve">PF </w:t>
            </w:r>
          </w:p>
        </w:tc>
        <w:tc>
          <w:tcPr>
            <w:tcW w:type="pct" w:w="301"/>
            <w:tcBorders/>
          </w:tcPr>
          <w:p>
            <w:pPr>
              <w:pBdr/>
              <w:spacing/>
              <w:jc w:val="left"/>
              <w:rPr/>
            </w:pPr>
            <w:r>
              <w:rPr>
                <w:sz w:val="24"/>
              </w:rPr>
              <w:t xml:space="preserve">CO </w:t>
            </w:r>
          </w:p>
        </w:tc>
      </w:tr>
      <w:tr>
        <w:trPr/>
        <w:tc>
          <w:tcPr>
            <w:tcW w:type="pct" w:w="1389"/>
            <w:tcBorders/>
          </w:tcPr>
          <w:p>
            <w:pPr>
              <w:pBdr/>
              <w:spacing/>
              <w:jc w:val="left"/>
              <w:rPr/>
            </w:pPr>
            <w:r>
              <w:rPr>
                <w:sz w:val="24"/>
              </w:rPr>
              <w:t xml:space="preserve">Agricultural uses</w:t>
            </w:r>
            <w:r>
              <w:rPr>
                <w:sz w:val="24"/>
                <w:vertAlign w:val="superscript"/>
              </w:rPr>
              <w:t xml:space="preserve">1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Banks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Barbershops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Beauty shops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Churches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Clubs, private </w:t>
            </w: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Community residential homes with six or fewer residents as required by F.S. § 419.001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Community residential homes with seven to 14 residents as required by F.S. § 419.001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Docks; commercial and noncommercial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Family day care homes as required by F.S. § 166.0445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Financial institutions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Fish camps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Government activity</w:t>
            </w:r>
            <w:r>
              <w:rPr>
                <w:sz w:val="24"/>
                <w:vertAlign w:val="superscript"/>
              </w:rPr>
              <w:t xml:space="preserve">2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Government service buildings </w:t>
            </w: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Government buildings</w:t>
            </w:r>
            <w:r>
              <w:rPr>
                <w:sz w:val="24"/>
                <w:vertAlign w:val="superscript"/>
              </w:rPr>
              <w:t xml:space="preserve">3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Greenhouses, commercial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Home occupations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Houses of worship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Libraries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Marinas; commercial and noncommercial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w:t>
            </w:r>
            <w:r>
              <w:rPr>
                <w:sz w:val="24"/>
                <w:vertAlign w:val="superscript"/>
              </w:rPr>
              <w:t xml:space="preserve">4 </w:t>
            </w:r>
          </w:p>
        </w:tc>
        <w:tc>
          <w:tcPr>
            <w:tcW w:type="pct" w:w="301"/>
            <w:tcBorders/>
          </w:tcPr>
          <w:p>
            <w:pPr>
              <w:pBdr/>
              <w:spacing/>
              <w:jc w:val="left"/>
              <w:rPr/>
            </w:pPr>
          </w:p>
        </w:tc>
        <w:tc>
          <w:tcPr>
            <w:tcW w:type="pct" w:w="301"/>
            <w:tcBorders/>
          </w:tcPr>
          <w:p>
            <w:pPr>
              <w:pBdr/>
              <w:spacing/>
              <w:jc w:val="left"/>
              <w:rPr/>
            </w:pPr>
            <w:r>
              <w:rPr>
                <w:sz w:val="24"/>
              </w:rPr>
              <w:t xml:space="preserve">P</w:t>
            </w:r>
            <w:r>
              <w:rPr>
                <w:sz w:val="24"/>
                <w:vertAlign w:val="superscript"/>
              </w:rPr>
              <w:t xml:space="preserve">5 </w:t>
            </w:r>
          </w:p>
        </w:tc>
        <w:tc>
          <w:tcPr>
            <w:tcW w:type="pct" w:w="301"/>
            <w:tcBorders/>
          </w:tcPr>
          <w:p>
            <w:pPr>
              <w:pBdr/>
              <w:spacing/>
              <w:jc w:val="left"/>
              <w:rPr/>
            </w:pPr>
            <w:r>
              <w:rPr>
                <w:sz w:val="24"/>
              </w:rPr>
              <w:t xml:space="preserve">P</w:t>
            </w:r>
            <w:r>
              <w:rPr>
                <w:sz w:val="24"/>
                <w:vertAlign w:val="superscript"/>
              </w:rPr>
              <w:t xml:space="preserve">6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 (enclosed storage)</w:t>
            </w:r>
            <w:r>
              <w:rPr>
                <w:sz w:val="24"/>
                <w:vertAlign w:val="superscript"/>
              </w:rPr>
              <w:t xml:space="preserve">7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 (enclosed garage facilities)</w:t>
            </w:r>
            <w:r>
              <w:rPr>
                <w:sz w:val="24"/>
                <w:vertAlign w:val="superscript"/>
              </w:rPr>
              <w:t xml:space="preserve">7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 (laundry facilities)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 (maintenance facilities)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park—(recreation area, including center court for games, swimming pools, and the like)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Mobile home park (offices)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Motels and cabin rentals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Multiple-family dwellings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Offices, business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Offices, professional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Packing houses; commercial</w:t>
            </w:r>
            <w:r>
              <w:rPr>
                <w:sz w:val="24"/>
                <w:vertAlign w:val="superscript"/>
              </w:rPr>
              <w:t xml:space="preserve">8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Parks, public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Parks, private noncommercial</w:t>
            </w:r>
            <w:r>
              <w:rPr>
                <w:sz w:val="24"/>
                <w:vertAlign w:val="superscript"/>
              </w:rPr>
              <w:t xml:space="preserve">9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Piers, commercial and noncommercial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Playgrounds, public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Produce stands, roadside</w:t>
            </w:r>
            <w:r>
              <w:rPr>
                <w:sz w:val="24"/>
                <w:vertAlign w:val="superscript"/>
              </w:rPr>
              <w:t xml:space="preserve">10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Public utility substations necessary to serve surrounding neighborhoods</w:t>
            </w:r>
            <w:r>
              <w:rPr>
                <w:sz w:val="24"/>
                <w:vertAlign w:val="superscript"/>
              </w:rPr>
              <w:t xml:space="preserve">11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Recreation areas, public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Recreation areas; commercial and private</w:t>
            </w:r>
            <w:r>
              <w:rPr>
                <w:sz w:val="24"/>
                <w:vertAlign w:val="superscript"/>
              </w:rPr>
              <w:t xml:space="preserve">12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Recreational facilities; private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Restaurants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Retail establishments</w:t>
            </w:r>
            <w:r>
              <w:rPr>
                <w:sz w:val="24"/>
                <w:vertAlign w:val="superscript"/>
              </w:rPr>
              <w:t xml:space="preserve">13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Schools, public or private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Service establishments</w:t>
            </w:r>
            <w:r>
              <w:rPr>
                <w:sz w:val="24"/>
                <w:vertAlign w:val="superscript"/>
              </w:rPr>
              <w:t xml:space="preserve">14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Single-family dwellings as permitted in R-2 districts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Single-family dwellings, site-built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Single-family dwellings, manufactured on individual lots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Single-family dwellings, more than four unrelated inhabitants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Tackle shops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Temporary revival and gospel establishments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Transmitting towers; microwave, radio, television, or amateur operator</w:t>
            </w:r>
            <w:r>
              <w:rPr>
                <w:sz w:val="24"/>
                <w:vertAlign w:val="superscript"/>
              </w:rPr>
              <w:t xml:space="preserve">15 </w:t>
            </w: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Travel trailer parks</w:t>
            </w:r>
            <w:r>
              <w:rPr>
                <w:sz w:val="24"/>
                <w:vertAlign w:val="superscript"/>
              </w:rPr>
              <w:t xml:space="preserve">16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Two-family dwellings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Two-family and multiple-family dwellings, site-built</w:t>
            </w:r>
            <w:r>
              <w:rPr>
                <w:sz w:val="24"/>
                <w:vertAlign w:val="superscript"/>
              </w:rPr>
              <w:t xml:space="preserve">17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Warehouses for the storage of agricultural products </w:t>
            </w:r>
          </w:p>
        </w:tc>
        <w:tc>
          <w:tcPr>
            <w:tcW w:type="pct" w:w="301"/>
            <w:tcBorders/>
          </w:tcPr>
          <w:p>
            <w:pPr>
              <w:pBdr/>
              <w:spacing/>
              <w:jc w:val="left"/>
              <w:rPr/>
            </w:pPr>
            <w:r>
              <w:rPr>
                <w:sz w:val="24"/>
              </w:rPr>
              <w:t xml:space="preserve">P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r>
        <w:trPr/>
        <w:tc>
          <w:tcPr>
            <w:tcW w:type="pct" w:w="1389"/>
            <w:tcBorders/>
          </w:tcPr>
          <w:p>
            <w:pPr>
              <w:pBdr/>
              <w:spacing/>
              <w:jc w:val="left"/>
              <w:rPr/>
            </w:pPr>
            <w:r>
              <w:rPr>
                <w:sz w:val="24"/>
              </w:rPr>
              <w:t xml:space="preserve">Wholesale warehouse or storage use</w:t>
            </w:r>
            <w:r>
              <w:rPr>
                <w:sz w:val="24"/>
                <w:vertAlign w:val="superscript"/>
              </w:rPr>
              <w:t xml:space="preserve">18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r>
              <w:rPr>
                <w:sz w:val="24"/>
              </w:rPr>
              <w:t xml:space="preserve">SE </w:t>
            </w: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c>
          <w:tcPr>
            <w:tcW w:type="pct" w:w="301"/>
            <w:tcBorders/>
          </w:tcPr>
          <w:p>
            <w:pPr>
              <w:pBdr/>
              <w:spacing/>
              <w:jc w:val="left"/>
              <w:rPr/>
            </w:pPr>
          </w:p>
        </w:tc>
      </w:tr>
    </w:tbl>
    <w:p>
      <w:pPr>
        <w:pBdr/>
        <w:spacing/>
        <w:rPr/>
      </w:pPr>
    </w:p>
    <w:p>
      <w:pPr>
        <w:pStyle w:val="Hang2"/>
        <w:pBdr/>
        <w:spacing/>
        <w:rPr/>
      </w:pPr>
      <w:r>
        <w:rPr>
          <w:rStyle w:val="Hang2"/>
        </w:rPr>
        <w:t xml:space="preserve">;le=2;</w:t>
      </w:r>
      <w:r>
        <w:rPr>
          <w:vertAlign w:val="superscript"/>
        </w:rPr>
        <w:t xml:space="preserve">1 </w:t>
      </w:r>
      <w:r>
        <w:rPr>
          <w:rStyle w:val="Hang2"/>
        </w:rPr>
        <w:t xml:space="preserve">This includes structures and uses accessory to agricultural activity. </w:t>
      </w:r>
    </w:p>
    <w:p>
      <w:pPr>
        <w:pStyle w:val="Hang2"/>
        <w:pBdr/>
        <w:spacing/>
        <w:rPr/>
      </w:pPr>
      <w:r>
        <w:rPr>
          <w:rStyle w:val="Hang2"/>
        </w:rPr>
        <w:t xml:space="preserve">;le=2;</w:t>
      </w:r>
      <w:r>
        <w:rPr>
          <w:vertAlign w:val="superscript"/>
        </w:rPr>
        <w:t xml:space="preserve">2 </w:t>
      </w:r>
      <w:r>
        <w:rPr>
          <w:rStyle w:val="Hang2"/>
        </w:rPr>
        <w:t xml:space="preserve">Any lawful governmental activity. </w:t>
      </w:r>
    </w:p>
    <w:p>
      <w:pPr>
        <w:pStyle w:val="Hang2"/>
        <w:pBdr/>
        <w:spacing/>
        <w:rPr/>
      </w:pPr>
      <w:r>
        <w:rPr>
          <w:rStyle w:val="Hang2"/>
        </w:rPr>
        <w:t xml:space="preserve">;le=2;</w:t>
      </w:r>
      <w:r>
        <w:rPr>
          <w:vertAlign w:val="superscript"/>
        </w:rPr>
        <w:t xml:space="preserve">3 </w:t>
      </w:r>
      <w:r>
        <w:rPr>
          <w:rStyle w:val="Hang2"/>
        </w:rPr>
        <w:t xml:space="preserve">In keeping with residential character of the area. </w:t>
      </w:r>
    </w:p>
    <w:p>
      <w:pPr>
        <w:pStyle w:val="Hang2"/>
        <w:pBdr/>
        <w:spacing/>
        <w:rPr/>
      </w:pPr>
      <w:r>
        <w:rPr>
          <w:rStyle w:val="Hang2"/>
        </w:rPr>
        <w:t xml:space="preserve">;le=2;</w:t>
      </w:r>
      <w:r>
        <w:rPr>
          <w:vertAlign w:val="superscript"/>
        </w:rPr>
        <w:t xml:space="preserve">4 </w:t>
      </w:r>
      <w:r>
        <w:rPr>
          <w:rStyle w:val="Hang2"/>
        </w:rPr>
        <w:t xml:space="preserve">On individual lots, subject to subsection 2.03.03, supplementary district regulations. </w:t>
      </w:r>
    </w:p>
    <w:p>
      <w:pPr>
        <w:pStyle w:val="Hang2"/>
        <w:pBdr/>
        <w:spacing/>
        <w:rPr/>
      </w:pPr>
      <w:r>
        <w:rPr>
          <w:rStyle w:val="Hang2"/>
        </w:rPr>
        <w:t xml:space="preserve">;le=2;</w:t>
      </w:r>
      <w:r>
        <w:rPr>
          <w:vertAlign w:val="superscript"/>
        </w:rPr>
        <w:t xml:space="preserve">5 </w:t>
      </w:r>
      <w:r>
        <w:rPr>
          <w:rStyle w:val="Hang2"/>
        </w:rPr>
        <w:t xml:space="preserve">On individual lots, subject to subsection 2.03.03, supplementary district regulations. </w:t>
      </w:r>
    </w:p>
    <w:p>
      <w:pPr>
        <w:pStyle w:val="Hang2"/>
        <w:pBdr/>
        <w:spacing/>
        <w:rPr/>
      </w:pPr>
      <w:r>
        <w:rPr>
          <w:rStyle w:val="Hang2"/>
        </w:rPr>
        <w:t xml:space="preserve">;le=2;</w:t>
      </w:r>
      <w:r>
        <w:rPr>
          <w:vertAlign w:val="superscript"/>
        </w:rPr>
        <w:t xml:space="preserve">6 </w:t>
      </w:r>
      <w:r>
        <w:rPr>
          <w:rStyle w:val="Hang2"/>
        </w:rPr>
        <w:t xml:space="preserve">One single-family mobile home per mobile home site; subject also to section 2.03.03, supplementary district regulations. </w:t>
      </w:r>
    </w:p>
    <w:p>
      <w:pPr>
        <w:pStyle w:val="Hang2"/>
        <w:pBdr/>
        <w:spacing/>
        <w:rPr/>
      </w:pPr>
      <w:r>
        <w:rPr>
          <w:rStyle w:val="Hang2"/>
        </w:rPr>
        <w:t xml:space="preserve">;le=2;</w:t>
      </w:r>
      <w:r>
        <w:rPr>
          <w:vertAlign w:val="superscript"/>
        </w:rPr>
        <w:t xml:space="preserve">7 </w:t>
      </w:r>
      <w:r>
        <w:rPr>
          <w:rStyle w:val="Hang2"/>
        </w:rPr>
        <w:t xml:space="preserve">Use limited to park residents only. </w:t>
      </w:r>
    </w:p>
    <w:p>
      <w:pPr>
        <w:pStyle w:val="Hang2"/>
        <w:pBdr/>
        <w:spacing/>
        <w:rPr/>
      </w:pPr>
      <w:r>
        <w:rPr>
          <w:rStyle w:val="Hang2"/>
        </w:rPr>
        <w:t xml:space="preserve">;le=2;</w:t>
      </w:r>
      <w:r>
        <w:rPr>
          <w:vertAlign w:val="superscript"/>
        </w:rPr>
        <w:t xml:space="preserve">8 </w:t>
      </w:r>
      <w:r>
        <w:rPr>
          <w:rStyle w:val="Hang2"/>
        </w:rPr>
        <w:t xml:space="preserve">For fruits and vegetables, but not including, plants for the production of citrus concentrate or similar products. </w:t>
      </w:r>
    </w:p>
    <w:p>
      <w:pPr>
        <w:pStyle w:val="Hang2"/>
        <w:pBdr/>
        <w:spacing/>
        <w:rPr/>
      </w:pPr>
      <w:r>
        <w:rPr>
          <w:rStyle w:val="Hang2"/>
        </w:rPr>
        <w:t xml:space="preserve">;le=2;</w:t>
      </w:r>
      <w:r>
        <w:rPr>
          <w:vertAlign w:val="superscript"/>
        </w:rPr>
        <w:t xml:space="preserve">9 </w:t>
      </w:r>
      <w:r>
        <w:rPr>
          <w:rStyle w:val="Hang2"/>
        </w:rPr>
        <w:t xml:space="preserve">Such as tennis courts, racquetball courts, swimming pools, and the like. </w:t>
      </w:r>
    </w:p>
    <w:p>
      <w:pPr>
        <w:pStyle w:val="Hang2"/>
        <w:pBdr/>
        <w:spacing/>
        <w:rPr/>
      </w:pPr>
      <w:r>
        <w:rPr>
          <w:rStyle w:val="Hang2"/>
        </w:rPr>
        <w:t xml:space="preserve">;le=2;</w:t>
      </w:r>
      <w:r>
        <w:rPr>
          <w:vertAlign w:val="superscript"/>
        </w:rPr>
        <w:t xml:space="preserve">10 </w:t>
      </w:r>
      <w:r>
        <w:rPr>
          <w:rStyle w:val="Hang2"/>
        </w:rPr>
        <w:t xml:space="preserve">For the sale only of agricultural products produced on the premises. </w:t>
      </w:r>
    </w:p>
    <w:p>
      <w:pPr>
        <w:pStyle w:val="Hang2"/>
        <w:pBdr/>
        <w:spacing/>
        <w:rPr/>
      </w:pPr>
      <w:r>
        <w:rPr>
          <w:rStyle w:val="Hang2"/>
        </w:rPr>
        <w:t xml:space="preserve">;le=2;</w:t>
      </w:r>
      <w:r>
        <w:rPr>
          <w:vertAlign w:val="superscript"/>
        </w:rPr>
        <w:t xml:space="preserve">11 </w:t>
      </w:r>
      <w:r>
        <w:rPr>
          <w:rStyle w:val="Hang2"/>
        </w:rPr>
        <w:t xml:space="preserve">Such facilities shall be designed, sited, and landscaped to ensure compatibility with residential neighborhoods. </w:t>
      </w:r>
    </w:p>
    <w:p>
      <w:pPr>
        <w:pStyle w:val="Hang2"/>
        <w:pBdr/>
        <w:spacing/>
        <w:rPr/>
      </w:pPr>
      <w:r>
        <w:rPr>
          <w:rStyle w:val="Hang2"/>
        </w:rPr>
        <w:t xml:space="preserve">;le=2;</w:t>
      </w:r>
      <w:r>
        <w:rPr>
          <w:vertAlign w:val="superscript"/>
        </w:rPr>
        <w:t xml:space="preserve">12 </w:t>
      </w:r>
      <w:r>
        <w:rPr>
          <w:rStyle w:val="Hang2"/>
        </w:rPr>
        <w:t xml:space="preserve">Such as golf courses, recreational vehicle parks, or riding stables. </w:t>
      </w:r>
    </w:p>
    <w:p>
      <w:pPr>
        <w:pStyle w:val="Hang2"/>
        <w:pBdr/>
        <w:spacing/>
        <w:rPr/>
      </w:pPr>
      <w:r>
        <w:rPr>
          <w:rStyle w:val="Hang2"/>
        </w:rPr>
        <w:t xml:space="preserve">;le=2;</w:t>
      </w:r>
      <w:r>
        <w:rPr>
          <w:vertAlign w:val="superscript"/>
        </w:rPr>
        <w:t xml:space="preserve">13 </w:t>
      </w:r>
      <w:r>
        <w:rPr>
          <w:rStyle w:val="Hang2"/>
        </w:rPr>
        <w:t xml:space="preserve">Establishments for the sale of goods and products at retail, but no manufacturing. </w:t>
      </w:r>
    </w:p>
    <w:p>
      <w:pPr>
        <w:pStyle w:val="Hang2"/>
        <w:pBdr/>
        <w:spacing/>
        <w:rPr/>
      </w:pPr>
      <w:r>
        <w:rPr>
          <w:rStyle w:val="Hang2"/>
        </w:rPr>
        <w:t xml:space="preserve">;le=2;</w:t>
      </w:r>
      <w:r>
        <w:rPr>
          <w:vertAlign w:val="superscript"/>
        </w:rPr>
        <w:t xml:space="preserve">14 </w:t>
      </w:r>
      <w:r>
        <w:rPr>
          <w:rStyle w:val="Hang2"/>
        </w:rPr>
        <w:t xml:space="preserve">Such as, automotive service stations, restaurants, and similar activities. </w:t>
      </w:r>
    </w:p>
    <w:p>
      <w:pPr>
        <w:pStyle w:val="Hang2"/>
        <w:pBdr/>
        <w:spacing/>
        <w:rPr/>
      </w:pPr>
      <w:r>
        <w:rPr>
          <w:rStyle w:val="Hang2"/>
        </w:rPr>
        <w:t xml:space="preserve">;le=2;</w:t>
      </w:r>
      <w:r>
        <w:rPr>
          <w:vertAlign w:val="superscript"/>
        </w:rPr>
        <w:t xml:space="preserve">15 </w:t>
      </w:r>
      <w:r>
        <w:rPr>
          <w:rStyle w:val="Hang2"/>
        </w:rPr>
        <w:t xml:space="preserve">Which shall be located in such a manner and on a parcel of sufficient size to contain the entire structure in event of a collapse. </w:t>
      </w:r>
    </w:p>
    <w:p>
      <w:pPr>
        <w:pStyle w:val="Hang2"/>
        <w:pBdr/>
        <w:spacing/>
        <w:rPr/>
      </w:pPr>
      <w:r>
        <w:rPr>
          <w:rStyle w:val="Hang2"/>
        </w:rPr>
        <w:t xml:space="preserve">;le=2;</w:t>
      </w:r>
      <w:r>
        <w:rPr>
          <w:vertAlign w:val="superscript"/>
        </w:rPr>
        <w:t xml:space="preserve">16 </w:t>
      </w:r>
      <w:r>
        <w:rPr>
          <w:rStyle w:val="Hang2"/>
        </w:rPr>
        <w:t xml:space="preserve">Subject to the provisions of subsection 2.03.06, supplementary district regulations. </w:t>
      </w:r>
    </w:p>
    <w:p>
      <w:pPr>
        <w:pStyle w:val="Hang2"/>
        <w:pBdr/>
        <w:spacing/>
        <w:rPr/>
      </w:pPr>
      <w:r>
        <w:rPr>
          <w:rStyle w:val="Hang2"/>
        </w:rPr>
        <w:t xml:space="preserve">;le=2;</w:t>
      </w:r>
      <w:r>
        <w:rPr>
          <w:vertAlign w:val="superscript"/>
        </w:rPr>
        <w:t xml:space="preserve">17 </w:t>
      </w:r>
      <w:r>
        <w:rPr>
          <w:rStyle w:val="Hang2"/>
        </w:rPr>
        <w:t xml:space="preserve">Which shall meet the requirements applicable to the R-3 zone as to minimum lot size, maximum lot coverage, minimum yards, and maximum height. </w:t>
      </w:r>
    </w:p>
    <w:p>
      <w:pPr>
        <w:pStyle w:val="Hang2"/>
        <w:pBdr/>
        <w:spacing/>
        <w:rPr/>
      </w:pPr>
      <w:r>
        <w:rPr>
          <w:rStyle w:val="Hang2"/>
        </w:rPr>
        <w:t xml:space="preserve">;le=2;</w:t>
      </w:r>
      <w:r>
        <w:rPr>
          <w:vertAlign w:val="superscript"/>
        </w:rPr>
        <w:t xml:space="preserve">18 </w:t>
      </w:r>
      <w:r>
        <w:rPr>
          <w:rStyle w:val="Hang2"/>
        </w:rPr>
        <w:t xml:space="preserve">Not including bulk storage of hazardous or flammable materials. </w:t>
      </w:r>
    </w:p>
    <w:p>
      <w:pPr>
        <w:pStyle w:val="List1"/>
        <w:pBdr/>
        <w:spacing/>
        <w:rPr/>
      </w:pPr>
      <w:r>
        <w:rPr/>
        <w:t xml:space="preserve">2.02.06.</w:t>
      </w:r>
      <w:r>
        <w:rPr/>
        <w:tab/>
        <w:t xml:space="preserve"/>
      </w:r>
      <w:r>
        <w:rPr>
          <w:i/>
        </w:rPr>
        <w:t xml:space="preserve">Permitted accessory uses and structures table.</w:t>
      </w:r>
    </w:p>
    <w:tbl>
      <w:tblPr>
        <w:tblStyle w:val="Table1_cb0fb922-ebf3-4e21-97a1-595b3ed8b216"/>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781"/>
        <w:gridCol w:w="260"/>
        <w:gridCol w:w="8319"/>
      </w:tblGrid>
      <w:tr>
        <w:trPr/>
        <w:tc>
          <w:tcPr>
            <w:tcW w:type="pct" w:w="417"/>
            <w:tcBorders/>
          </w:tcPr>
          <w:p>
            <w:pPr>
              <w:pBdr/>
              <w:spacing/>
              <w:jc w:val="left"/>
              <w:rPr/>
            </w:pPr>
            <w:r>
              <w:rPr/>
              <w:t xml:space="preserve">Zoning District </w:t>
            </w:r>
          </w:p>
        </w:tc>
        <w:tc>
          <w:tcPr>
            <w:tcW w:type="pct" w:w="4583"/>
            <w:gridSpan w:val="2"/>
            <w:tcBorders/>
          </w:tcPr>
          <w:p>
            <w:pPr>
              <w:pBdr/>
              <w:spacing/>
              <w:jc w:val="center"/>
              <w:rPr/>
            </w:pPr>
            <w:r>
              <w:rPr/>
              <w:t xml:space="preserve">Permitted Accessory Uses and Structures </w:t>
            </w:r>
          </w:p>
        </w:tc>
      </w:tr>
      <w:tr>
        <w:trPr/>
        <w:tc>
          <w:tcPr>
            <w:tcW w:type="pct" w:w="417"/>
            <w:tcBorders/>
          </w:tcPr>
          <w:p>
            <w:pPr>
              <w:pBdr/>
              <w:spacing/>
              <w:jc w:val="left"/>
              <w:rPr/>
            </w:pPr>
            <w:r>
              <w:rPr/>
              <w:t xml:space="preserve">AC </w:t>
            </w:r>
          </w:p>
        </w:tc>
        <w:tc>
          <w:tcPr>
            <w:tcW w:type="pct" w:w="4583"/>
            <w:gridSpan w:val="2"/>
            <w:tcBorders/>
          </w:tcPr>
          <w:p>
            <w:pPr>
              <w:pBdr/>
              <w:spacing/>
              <w:jc w:val="left"/>
              <w:rPr/>
            </w:pPr>
            <w:r>
              <w:rPr/>
              <w:t xml:space="preserve">Only the following accessory uses and structures are permitted: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Uses which are customarily accessory and clearly incidental to permitted or permissible uses. </w:t>
            </w:r>
          </w:p>
        </w:tc>
      </w:tr>
      <w:tr>
        <w:trPr/>
        <w:tc>
          <w:tcPr>
            <w:tcW w:type="pct" w:w="417"/>
            <w:vMerge w:val="restart"/>
            <w:tcBorders/>
          </w:tcPr>
          <w:p>
            <w:pPr>
              <w:pBdr/>
              <w:spacing/>
              <w:jc w:val="left"/>
              <w:rPr/>
            </w:pPr>
            <w:r>
              <w:rPr/>
              <w:t xml:space="preserve">R-1 </w:t>
            </w:r>
            <w:r>
              <w:rPr/>
              <w:br/>
            </w:r>
            <w:r>
              <w:rPr/>
              <w:t xml:space="preserve">R-2 </w:t>
            </w:r>
            <w:r>
              <w:rPr/>
              <w:br/>
            </w:r>
            <w:r>
              <w:rPr/>
              <w:t xml:space="preserve">R-3 </w:t>
            </w:r>
            <w:r>
              <w:rPr/>
              <w:br/>
            </w:r>
            <w:r>
              <w:rPr/>
              <w:t xml:space="preserve">R-4 </w:t>
            </w:r>
          </w:p>
        </w:tc>
        <w:tc>
          <w:tcPr>
            <w:tcW w:type="pct" w:w="4583"/>
            <w:gridSpan w:val="2"/>
            <w:tcBorders/>
          </w:tcPr>
          <w:p>
            <w:pPr>
              <w:pBdr/>
              <w:spacing/>
              <w:jc w:val="left"/>
              <w:rPr/>
            </w:pPr>
            <w:r>
              <w:rPr/>
              <w:t xml:space="preserve">Only the following accessory uses and structures are permitted. Uses and structures which are: </w:t>
            </w:r>
          </w:p>
        </w:tc>
      </w:tr>
      <w:tr>
        <w:trPr/>
        <w:tc>
          <w:tcPr>
            <w:tcW w:type="pct" w:w="417"/>
            <w:vMerge w:val="continue"/>
            <w:tcBorders/>
          </w:tcPr>
          <w:p>
            <w:pPr>
              <w:pBdr/>
              <w:spacing/>
              <w:rPr/>
            </w:pPr>
          </w:p>
        </w:tc>
        <w:tc>
          <w:tcPr>
            <w:tcW w:type="pct" w:w="139"/>
            <w:tcBorders/>
          </w:tcPr>
          <w:p>
            <w:pPr>
              <w:pBdr/>
              <w:spacing/>
              <w:jc w:val="left"/>
              <w:rPr/>
            </w:pPr>
          </w:p>
        </w:tc>
        <w:tc>
          <w:tcPr>
            <w:tcW w:type="pct" w:w="4444"/>
            <w:tcBorders/>
          </w:tcPr>
          <w:p>
            <w:pPr>
              <w:pBdr/>
              <w:spacing/>
              <w:jc w:val="left"/>
              <w:rPr/>
            </w:pPr>
            <w:r>
              <w:rPr/>
              <w:t xml:space="preserve">(1) Customarily accessory and clearly incidental to permitted or permissible uses and structures. </w:t>
            </w:r>
          </w:p>
        </w:tc>
      </w:tr>
      <w:tr>
        <w:trPr/>
        <w:tc>
          <w:tcPr>
            <w:tcW w:type="pct" w:w="417"/>
            <w:vMerge w:val="continue"/>
            <w:tcBorders/>
          </w:tcPr>
          <w:p>
            <w:pPr>
              <w:pBdr/>
              <w:spacing/>
              <w:rPr/>
            </w:pPr>
          </w:p>
        </w:tc>
        <w:tc>
          <w:tcPr>
            <w:tcW w:type="pct" w:w="139"/>
            <w:tcBorders/>
          </w:tcPr>
          <w:p>
            <w:pPr>
              <w:pBdr/>
              <w:spacing/>
              <w:jc w:val="left"/>
              <w:rPr/>
            </w:pPr>
          </w:p>
        </w:tc>
        <w:tc>
          <w:tcPr>
            <w:tcW w:type="pct" w:w="4444"/>
            <w:tcBorders/>
          </w:tcPr>
          <w:p>
            <w:pPr>
              <w:pBdr/>
              <w:spacing/>
              <w:jc w:val="left"/>
              <w:rPr/>
            </w:pPr>
            <w:r>
              <w:rPr/>
              <w:t xml:space="preserve">(2) Do not involve the conduct of business, except for home occupations, on the premises. </w:t>
            </w:r>
          </w:p>
        </w:tc>
      </w:tr>
      <w:tr>
        <w:trPr/>
        <w:tc>
          <w:tcPr>
            <w:tcW w:type="pct" w:w="417"/>
            <w:vMerge w:val="continue"/>
            <w:tcBorders/>
          </w:tcPr>
          <w:p>
            <w:pPr>
              <w:pBdr/>
              <w:spacing/>
              <w:rPr/>
            </w:pPr>
          </w:p>
        </w:tc>
        <w:tc>
          <w:tcPr>
            <w:tcW w:type="pct" w:w="139"/>
            <w:tcBorders/>
          </w:tcPr>
          <w:p>
            <w:pPr>
              <w:pBdr/>
              <w:spacing/>
              <w:jc w:val="left"/>
              <w:rPr/>
            </w:pPr>
          </w:p>
        </w:tc>
        <w:tc>
          <w:tcPr>
            <w:tcW w:type="pct" w:w="4444"/>
            <w:tcBorders/>
          </w:tcPr>
          <w:p>
            <w:pPr>
              <w:pBdr/>
              <w:spacing/>
              <w:jc w:val="left"/>
              <w:rPr/>
            </w:pPr>
            <w:r>
              <w:rPr/>
              <w:t xml:space="preserve">(3) Are located on the same lot as the permitted or permissible principal use or structure, or on a contiguous lot in the same ownership.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(4) Are not of a nature likely to attract visitors in larger numbers than would normally be expected in a residential neighborhood.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(5) Do not involve operations or structures not in keeping with the character of a single-family residential neighborhood. </w:t>
            </w:r>
          </w:p>
        </w:tc>
      </w:tr>
      <w:tr>
        <w:trPr/>
        <w:tc>
          <w:tcPr>
            <w:tcW w:type="pct" w:w="417"/>
            <w:tcBorders/>
          </w:tcPr>
          <w:p>
            <w:pPr>
              <w:pBdr/>
              <w:spacing/>
              <w:jc w:val="left"/>
              <w:rPr/>
            </w:pPr>
          </w:p>
        </w:tc>
        <w:tc>
          <w:tcPr>
            <w:tcW w:type="pct" w:w="4583"/>
            <w:gridSpan w:val="2"/>
            <w:tcBorders/>
          </w:tcPr>
          <w:p>
            <w:pPr>
              <w:pBdr/>
              <w:spacing/>
              <w:jc w:val="left"/>
              <w:rPr/>
            </w:pPr>
            <w:r>
              <w:rPr/>
              <w:t xml:space="preserve">Only the following accessory uses and structures are permitted within this district: (1) Animals,</w:t>
            </w:r>
            <w:r>
              <w:rPr>
                <w:vertAlign w:val="superscript"/>
              </w:rPr>
              <w:t xml:space="preserve">19 </w:t>
            </w:r>
            <w:r>
              <w:rPr/>
              <w:t xml:space="preserve">(2) Children's play areas and play equipment; (3) Garden sheds; (4) Garden work centers; (5) Gardens; (6) Greenhouses, noncommercial; (7) Living accommodations for persons employed in the household; (8) Plant nurseries, noncommercial; (9) Private barbecue pits; (10) Private garages; (11) Private swimming pools; and, (12) Tool houses. </w:t>
            </w:r>
          </w:p>
        </w:tc>
      </w:tr>
      <w:tr>
        <w:trPr/>
        <w:tc>
          <w:tcPr>
            <w:tcW w:type="pct" w:w="417"/>
            <w:tcBorders/>
          </w:tcPr>
          <w:p>
            <w:pPr>
              <w:pBdr/>
              <w:spacing/>
              <w:jc w:val="left"/>
              <w:rPr/>
            </w:pPr>
            <w:r>
              <w:rPr/>
              <w:t xml:space="preserve">MHP </w:t>
            </w:r>
          </w:p>
        </w:tc>
        <w:tc>
          <w:tcPr>
            <w:tcW w:type="pct" w:w="4583"/>
            <w:gridSpan w:val="2"/>
            <w:tcBorders/>
          </w:tcPr>
          <w:p>
            <w:pPr>
              <w:pBdr/>
              <w:spacing/>
              <w:jc w:val="left"/>
              <w:rPr/>
            </w:pPr>
            <w:r>
              <w:rPr/>
              <w:t xml:space="preserve">Only the following accessory uses and structures are permitted. Uses and structures which: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(1) Are customarily accessory and clearly incidental to permitted or permissible uses and structures.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(2) Do not involve the conduct of business, except for home occupations, on the individual sites.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(3) Are located on the same lot or parcel as the mobile home park.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(4) Are not of a nature likely to attract visitors in larger numbers than would normally be expected in a mobile home park.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(5) Do not involve operations or structures not in keeping with the character of a mobile home park. </w:t>
            </w:r>
          </w:p>
        </w:tc>
      </w:tr>
      <w:tr>
        <w:trPr/>
        <w:tc>
          <w:tcPr>
            <w:tcW w:type="pct" w:w="417"/>
            <w:tcBorders/>
          </w:tcPr>
          <w:p>
            <w:pPr>
              <w:pBdr/>
              <w:spacing/>
              <w:jc w:val="left"/>
              <w:rPr/>
            </w:pPr>
            <w:r>
              <w:rPr/>
              <w:t xml:space="preserve">HC </w:t>
            </w:r>
          </w:p>
        </w:tc>
        <w:tc>
          <w:tcPr>
            <w:tcW w:type="pct" w:w="4583"/>
            <w:gridSpan w:val="2"/>
            <w:tcBorders/>
          </w:tcPr>
          <w:p>
            <w:pPr>
              <w:pBdr/>
              <w:spacing/>
              <w:jc w:val="left"/>
              <w:rPr/>
            </w:pPr>
            <w:r>
              <w:rPr/>
              <w:t xml:space="preserve">The following accessory uses and structures only are permitted. Uses and structures which: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(1) Are customarily accessory and clearly incidental to permitted or permissible uses and structures.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(2) Are located on the same lot or parcel as the permitted or permissible use or structure or on a contiguous lot in the same ownership.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(3) Do not involve operations or structures not in keeping with the character of the district. </w:t>
            </w:r>
          </w:p>
        </w:tc>
      </w:tr>
      <w:tr>
        <w:trPr/>
        <w:tc>
          <w:tcPr>
            <w:tcW w:type="pct" w:w="417"/>
            <w:tcBorders/>
          </w:tcPr>
          <w:p>
            <w:pPr>
              <w:pBdr/>
              <w:spacing/>
              <w:jc w:val="left"/>
              <w:rPr/>
            </w:pPr>
            <w:r>
              <w:rPr/>
              <w:t xml:space="preserve">C-1 </w:t>
            </w:r>
          </w:p>
        </w:tc>
        <w:tc>
          <w:tcPr>
            <w:tcW w:type="pct" w:w="4583"/>
            <w:gridSpan w:val="2"/>
            <w:tcBorders/>
          </w:tcPr>
          <w:p>
            <w:pPr>
              <w:pBdr/>
              <w:spacing/>
              <w:jc w:val="left"/>
              <w:rPr/>
            </w:pPr>
            <w:r>
              <w:rPr/>
              <w:t xml:space="preserve">The following accessory uses and structures only are permitted. Uses and structures which: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(1) Are customarily accessory and clearly incidental to permitted or permissible uses and structures.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(2) Are located on the same lot or parcel as the permitted or permissible use or structure or on a contiguous lot in the same ownership.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(3) Do not involve operations or structures not in keeping with the character of the district.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(4) Are located on a lot or parcel that is within 100 feet or less from the lot or parcel with the permitted or permissible use and is only separated by public property from the lot or parcel with the permitted or permissible use. Additionally, the following site requirements and/or considerations must meet the satisfaction of the administrative official: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 a. Pedestrian and traffic safety, such as cross-walks and driveway access;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 b. Adequate parking for the proposed use; and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 c. Buffers (vegetative, fences or walls) shall be installed in order to preserve the character of any adjacent residential districts. </w:t>
            </w:r>
          </w:p>
        </w:tc>
      </w:tr>
      <w:tr>
        <w:trPr/>
        <w:tc>
          <w:tcPr>
            <w:tcW w:type="pct" w:w="417"/>
            <w:tcBorders/>
          </w:tcPr>
          <w:p>
            <w:pPr>
              <w:pBdr/>
              <w:spacing/>
              <w:jc w:val="left"/>
              <w:rPr/>
            </w:pPr>
            <w:r>
              <w:rPr/>
              <w:t xml:space="preserve">C-2 </w:t>
            </w:r>
          </w:p>
        </w:tc>
        <w:tc>
          <w:tcPr>
            <w:tcW w:type="pct" w:w="4583"/>
            <w:gridSpan w:val="2"/>
            <w:tcBorders/>
          </w:tcPr>
          <w:p>
            <w:pPr>
              <w:pBdr/>
              <w:spacing/>
              <w:jc w:val="left"/>
              <w:rPr/>
            </w:pPr>
            <w:r>
              <w:rPr/>
              <w:t xml:space="preserve">The following accessory uses and structures only are permitted. Uses and structures which: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(1) Are customarily accessory and clearly incidental to permitted or permissible uses and structures.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(2) Are located on the same lot or parcel as the permitted or permissible use or structure or on a contiguous lot in the same ownership. </w:t>
            </w:r>
          </w:p>
        </w:tc>
      </w:tr>
      <w:tr>
        <w:trPr/>
        <w:tc>
          <w:tcPr>
            <w:tcW w:type="pct" w:w="417"/>
            <w:tcBorders/>
          </w:tcPr>
          <w:p>
            <w:pPr>
              <w:pBdr/>
              <w:spacing/>
              <w:jc w:val="left"/>
              <w:rPr/>
            </w:pPr>
          </w:p>
        </w:tc>
        <w:tc>
          <w:tcPr>
            <w:tcW w:type="pct" w:w="139"/>
            <w:tcBorders/>
          </w:tcPr>
          <w:p>
            <w:pPr>
              <w:pBdr/>
              <w:spacing/>
              <w:jc w:val="left"/>
              <w:rPr/>
            </w:pPr>
          </w:p>
        </w:tc>
        <w:tc>
          <w:tcPr>
            <w:tcW w:type="pct" w:w="4444"/>
            <w:tcBorders/>
          </w:tcPr>
          <w:p>
            <w:pPr>
              <w:pBdr/>
              <w:spacing/>
              <w:jc w:val="left"/>
              <w:rPr/>
            </w:pPr>
            <w:r>
              <w:rPr/>
              <w:t xml:space="preserve">(3) Do not involve operations or structures not in keeping with the character of the district. </w:t>
            </w:r>
          </w:p>
        </w:tc>
      </w:tr>
      <w:tr>
        <w:trPr/>
        <w:tc>
          <w:tcPr>
            <w:tcW w:type="pct" w:w="417"/>
            <w:tcBorders/>
          </w:tcPr>
          <w:p>
            <w:pPr>
              <w:pBdr/>
              <w:spacing/>
              <w:jc w:val="left"/>
              <w:rPr/>
            </w:pPr>
            <w:r>
              <w:rPr/>
              <w:t xml:space="preserve">GU </w:t>
            </w:r>
          </w:p>
        </w:tc>
        <w:tc>
          <w:tcPr>
            <w:tcW w:type="pct" w:w="4583"/>
            <w:gridSpan w:val="2"/>
            <w:tcBorders/>
          </w:tcPr>
          <w:p>
            <w:pPr>
              <w:pBdr/>
              <w:spacing/>
              <w:jc w:val="left"/>
              <w:rPr/>
            </w:pPr>
            <w:r>
              <w:rPr/>
              <w:t xml:space="preserve">Uses and structures which are customarily accessory and clearly incidental to permitted uses are permitted in these districts. </w:t>
            </w:r>
          </w:p>
        </w:tc>
      </w:tr>
      <w:tr>
        <w:trPr/>
        <w:tc>
          <w:tcPr>
            <w:tcW w:type="pct" w:w="417"/>
            <w:tcBorders/>
          </w:tcPr>
          <w:p>
            <w:pPr>
              <w:pBdr/>
              <w:spacing/>
              <w:jc w:val="left"/>
              <w:rPr/>
            </w:pPr>
            <w:r>
              <w:rPr/>
              <w:t xml:space="preserve">PF </w:t>
            </w:r>
          </w:p>
        </w:tc>
        <w:tc>
          <w:tcPr>
            <w:tcW w:type="pct" w:w="4583"/>
            <w:gridSpan w:val="2"/>
            <w:tcBorders/>
          </w:tcPr>
          <w:p>
            <w:pPr>
              <w:pBdr/>
              <w:spacing/>
              <w:jc w:val="left"/>
              <w:rPr/>
            </w:pPr>
          </w:p>
        </w:tc>
      </w:tr>
      <w:tr>
        <w:trPr/>
        <w:tc>
          <w:tcPr>
            <w:tcW w:type="pct" w:w="417"/>
            <w:tcBorders/>
          </w:tcPr>
          <w:p>
            <w:pPr>
              <w:pBdr/>
              <w:spacing/>
              <w:jc w:val="left"/>
              <w:rPr/>
            </w:pPr>
            <w:r>
              <w:rPr/>
              <w:t xml:space="preserve">CO </w:t>
            </w:r>
          </w:p>
        </w:tc>
        <w:tc>
          <w:tcPr>
            <w:tcW w:type="pct" w:w="4583"/>
            <w:gridSpan w:val="2"/>
            <w:tcBorders/>
          </w:tcPr>
          <w:p>
            <w:pPr>
              <w:pBdr/>
              <w:spacing/>
              <w:jc w:val="left"/>
              <w:rPr/>
            </w:pPr>
          </w:p>
        </w:tc>
      </w:tr>
    </w:tbl>
    <w:p>
      <w:pPr>
        <w:pBdr/>
        <w:spacing/>
        <w:rPr/>
      </w:pPr>
    </w:p>
    <w:p>
      <w:pPr>
        <w:pStyle w:val="Hang2"/>
        <w:pBdr/>
        <w:spacing/>
        <w:rPr/>
      </w:pPr>
      <w:r>
        <w:rPr>
          <w:rStyle w:val="Hang2"/>
        </w:rPr>
        <w:t xml:space="preserve">;le=2;</w:t>
      </w:r>
      <w:r>
        <w:rPr>
          <w:vertAlign w:val="superscript"/>
        </w:rPr>
        <w:t xml:space="preserve">19 </w:t>
      </w:r>
      <w:r>
        <w:rPr>
          <w:rStyle w:val="Hang2"/>
        </w:rPr>
        <w:t xml:space="preserve">The keeping of animals is permitted as an accessory use, subject to the regulations in subsection 2.03.02, supplementary district regulations. </w:t>
      </w:r>
    </w:p>
    <w:p>
      <w:pPr>
        <w:pStyle w:val="HistoryNote"/>
        <w:pBdr/>
        <w:spacing/>
        <w:rPr/>
      </w:pPr>
      <w:r>
        <w:rPr>
          <w:rStyle w:val="HistoryNote"/>
        </w:rPr>
        <w:t xml:space="preserve">(Ord. No. 94-112, exh. A(2.02), 1-18-1994; Ord. No. 00-136, exh. A(2.02), 1-11-2001; Ord. No. 2011-182, § 1, 9-15-2011; Ord. No. 2011-181, § 1, 12-8-2011)</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2026-03-02 13:55:05 [EST]</w:t>
    </w:r>
  </w:p>
  <w:p>
    <w:pPr>
      <w:pStyle w:val="FooterLeft"/>
      <w:pBdr/>
      <w:spacing/>
      <w:rPr/>
    </w:pPr>
    <w:r>
      <w:rPr/>
      <w:t xml:space="preserve">(Supp. No. 8, Update 1)</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26A0DD5D"/>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clrSchemeMappin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2">
    <w:name w:val="List 2"/>
    <w:basedOn w:val="List1"/>
    <w:uiPriority w:val="5"/>
    <w:qFormat/>
    <w:pPr>
      <w:pBdr/>
      <w:spacing/>
      <w:ind w:left="950"/>
    </w:pPr>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TableNormal"/>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Hang2" w:customStyle="1">
    <w:name w:val="Hang 2"/>
    <w:basedOn w:val="Hang1"/>
    <w:uiPriority w:val="8"/>
    <w:unhideWhenUsed/>
    <w:qFormat/>
    <w:pPr>
      <w:pBdr/>
      <w:spacing/>
      <w:ind w:left="950"/>
    </w:pPr>
    <w:rPr/>
  </w:style>
  <w:style w:type="table" w:styleId="NormalTable_4e297a34-09a9-4952-a623-874f776e88f0" w:customStyle="1">
    <w:name w:val="Normal Table_4e297a34-09a9-4952-a623-874f776e88f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b0fb922-ebf3-4e21-97a1-595b3ed8b216" w:customStyle="1">
    <w:name w:val="Table 1_cb0fb922-ebf3-4e21-97a1-595b3ed8b216"/>
    <w:basedOn w:val="NormalTable_4e297a34-09a9-4952-a623-874f776e88f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5801c9dd-c86f-480c-b7a1-9454c18ad62c" w:customStyle="1">
    <w:name w:val="Normal Table_5801c9dd-c86f-480c-b7a1-9454c18ad62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5801c9dd-c86f-480c-b7a1-9454c18ad62c"/>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ed7a1390-8e22-4f22-93dc-a655ade8a8e0" w:customStyle="1">
    <w:name w:val="Normal Table_ed7a1390-8e22-4f22-93dc-a655ade8a8e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893226e9-62f0-4261-be89-8cbbdcb8c235" w:customStyle="1">
    <w:name w:val="Table 1_893226e9-62f0-4261-be89-8cbbdcb8c235"/>
    <w:basedOn w:val="NormalTable_ed7a1390-8e22-4f22-93dc-a655ade8a8e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893226e9-62f0-4261-be89-8cbbdcb8c235"/>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7ee39b6-8640-4f44-b57b-914057bf5d06" w:customStyle="1">
    <w:name w:val="Normal Table_07ee39b6-8640-4f44-b57b-914057bf5d0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c3fff6a-136b-4875-ac19-2d1f65c4e77d" w:customStyle="1">
    <w:name w:val="Table 1_cc3fff6a-136b-4875-ac19-2d1f65c4e77d"/>
    <w:basedOn w:val="NormalTable_07ee39b6-8640-4f44-b57b-914057bf5d06"/>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d08c0137-c168-4db1-bfc7-75ad0dc498d7" w:customStyle="1">
    <w:name w:val="Table 2_d08c0137-c168-4db1-bfc7-75ad0dc498d7"/>
    <w:basedOn w:val="Table1_cc3fff6a-136b-4875-ac19-2d1f65c4e77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d08c0137-c168-4db1-bfc7-75ad0dc498d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60670c4-0567-43be-a6d1-676b66ab3fc7" w:customStyle="1">
    <w:name w:val="Normal Table_060670c4-0567-43be-a6d1-676b66ab3fc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9027af2-3a7f-46f0-90f6-3166dd2a0b5c" w:customStyle="1">
    <w:name w:val="Table 1_59027af2-3a7f-46f0-90f6-3166dd2a0b5c"/>
    <w:basedOn w:val="NormalTable_060670c4-0567-43be-a6d1-676b66ab3fc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179f37f-cfd0-4e85-a601-025e51a2dad7" w:customStyle="1">
    <w:name w:val="Table 2_8179f37f-cfd0-4e85-a601-025e51a2dad7"/>
    <w:basedOn w:val="Table1_59027af2-3a7f-46f0-90f6-3166dd2a0b5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aa53e669-892e-408b-982d-f3c29daddba4" w:customStyle="1">
    <w:name w:val="Table 3_aa53e669-892e-408b-982d-f3c29daddba4"/>
    <w:basedOn w:val="Table2_8179f37f-cfd0-4e85-a601-025e51a2dad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aa53e669-892e-408b-982d-f3c29daddba4"/>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94739f9-3b61-4cad-8a82-ae65c8d01571" w:customStyle="1">
    <w:name w:val="Normal Table_194739f9-3b61-4cad-8a82-ae65c8d0157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9476a36-66a8-42b4-856e-e020ba0c66fa" w:customStyle="1">
    <w:name w:val="Table 1_d9476a36-66a8-42b4-856e-e020ba0c66fa"/>
    <w:basedOn w:val="NormalTable_194739f9-3b61-4cad-8a82-ae65c8d0157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0eaea429-02b5-4e2c-a98c-b00d3b9f18c4" w:customStyle="1">
    <w:name w:val="Table 2_0eaea429-02b5-4e2c-a98c-b00d3b9f18c4"/>
    <w:basedOn w:val="Table1_d9476a36-66a8-42b4-856e-e020ba0c66f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2baab72-8f93-45d6-9107-7f1f48fdaced" w:customStyle="1">
    <w:name w:val="Table 3_52baab72-8f93-45d6-9107-7f1f48fdaced"/>
    <w:basedOn w:val="Table2_0eaea429-02b5-4e2c-a98c-b00d3b9f18c4"/>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e682975d-047b-45af-ad81-7833c3d38357" w:customStyle="1">
    <w:name w:val="Table 4_e682975d-047b-45af-ad81-7833c3d38357"/>
    <w:basedOn w:val="Table3_52baab72-8f93-45d6-9107-7f1f48fdaced"/>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e682975d-047b-45af-ad81-7833c3d38357"/>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827b9c9-02c0-4a04-9261-269eee0744be" w:customStyle="1">
    <w:name w:val="Normal Table_3827b9c9-02c0-4a04-9261-269eee0744b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6fcb4fe0-d709-4450-ae2c-73013383575e" w:customStyle="1">
    <w:name w:val="Table 1_6fcb4fe0-d709-4450-ae2c-73013383575e"/>
    <w:basedOn w:val="NormalTable_3827b9c9-02c0-4a04-9261-269eee0744b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56d3674-5655-4cbf-8141-feafcb832b97" w:customStyle="1">
    <w:name w:val="Table 2_756d3674-5655-4cbf-8141-feafcb832b97"/>
    <w:basedOn w:val="Table1_6fcb4fe0-d709-4450-ae2c-73013383575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9ecd8c5-e717-4954-8906-ac111864ece2" w:customStyle="1">
    <w:name w:val="Table 3_29ecd8c5-e717-4954-8906-ac111864ece2"/>
    <w:basedOn w:val="Table2_756d3674-5655-4cbf-8141-feafcb832b9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620324a3-5e7c-4abe-8954-c2cb5b42fb36" w:customStyle="1">
    <w:name w:val="Table 4_620324a3-5e7c-4abe-8954-c2cb5b42fb36"/>
    <w:basedOn w:val="Table3_29ecd8c5-e717-4954-8906-ac111864ece2"/>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457d2fa5-2508-423c-abe7-89eaa8eb8d85" w:customStyle="1">
    <w:name w:val="Table 5_457d2fa5-2508-423c-abe7-89eaa8eb8d85"/>
    <w:basedOn w:val="Table4_620324a3-5e7c-4abe-8954-c2cb5b42fb36"/>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457d2fa5-2508-423c-abe7-89eaa8eb8d8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a2641287-dd81-4435-8dae-a91bd1c48d15" w:customStyle="1">
    <w:name w:val="Normal Table_a2641287-dd81-4435-8dae-a91bd1c48d1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df54eb4-d691-488e-9dde-92cd4f0d36f9" w:customStyle="1">
    <w:name w:val="Table 1_5df54eb4-d691-488e-9dde-92cd4f0d36f9"/>
    <w:basedOn w:val="NormalTable_a2641287-dd81-4435-8dae-a91bd1c48d15"/>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11026101-e155-4c3b-ba54-7d3c1b82b628" w:customStyle="1">
    <w:name w:val="Table 2_11026101-e155-4c3b-ba54-7d3c1b82b628"/>
    <w:basedOn w:val="Table1_5df54eb4-d691-488e-9dde-92cd4f0d36f9"/>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7409eca-8171-4cf4-8c3b-a7d144e2a215" w:customStyle="1">
    <w:name w:val="Table 3_57409eca-8171-4cf4-8c3b-a7d144e2a215"/>
    <w:basedOn w:val="Table2_11026101-e155-4c3b-ba54-7d3c1b82b62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15fdeda-5911-422c-8499-35291f7254f4" w:customStyle="1">
    <w:name w:val="Table 4_415fdeda-5911-422c-8499-35291f7254f4"/>
    <w:basedOn w:val="Table3_57409eca-8171-4cf4-8c3b-a7d144e2a21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56a602c3-0846-45bd-b868-bd7b5d5a08e9" w:customStyle="1">
    <w:name w:val="Table 5_56a602c3-0846-45bd-b868-bd7b5d5a08e9"/>
    <w:basedOn w:val="Table4_415fdeda-5911-422c-8499-35291f7254f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3ad896e9-d09d-4a57-a094-51274725f528" w:customStyle="1">
    <w:name w:val="Table 6_3ad896e9-d09d-4a57-a094-51274725f528"/>
    <w:basedOn w:val="Table5_56a602c3-0846-45bd-b868-bd7b5d5a08e9"/>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3ad896e9-d09d-4a57-a094-51274725f528"/>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b205b586-5bbd-45a7-ba06-0ed1461d5c3a" w:customStyle="1">
    <w:name w:val="Normal Table_b205b586-5bbd-45a7-ba06-0ed1461d5c3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40727ab-f5d5-46cc-b761-3445121476bc" w:customStyle="1">
    <w:name w:val="Table 1_f40727ab-f5d5-46cc-b761-3445121476bc"/>
    <w:basedOn w:val="NormalTable_b205b586-5bbd-45a7-ba06-0ed1461d5c3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405015d5-b9c0-40ca-9db1-943a008a80bb" w:customStyle="1">
    <w:name w:val="Table 2_405015d5-b9c0-40ca-9db1-943a008a80bb"/>
    <w:basedOn w:val="Table1_f40727ab-f5d5-46cc-b761-3445121476bc"/>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2ca0332-0162-4b9d-bf73-0e2af41b4de1" w:customStyle="1">
    <w:name w:val="Table 3_52ca0332-0162-4b9d-bf73-0e2af41b4de1"/>
    <w:basedOn w:val="Table2_405015d5-b9c0-40ca-9db1-943a008a80bb"/>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580a2b8b-8c26-4340-8918-3f88ef1e5598" w:customStyle="1">
    <w:name w:val="Table 4_580a2b8b-8c26-4340-8918-3f88ef1e5598"/>
    <w:basedOn w:val="Table3_52ca0332-0162-4b9d-bf73-0e2af41b4de1"/>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903aac1a-dea9-47c8-9271-d210209dcb3f" w:customStyle="1">
    <w:name w:val="Table 5_903aac1a-dea9-47c8-9271-d210209dcb3f"/>
    <w:basedOn w:val="Table4_580a2b8b-8c26-4340-8918-3f88ef1e5598"/>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ee1029a3-5cf2-42fe-b528-584d8a7988bf" w:customStyle="1">
    <w:name w:val="Table 6_ee1029a3-5cf2-42fe-b528-584d8a7988bf"/>
    <w:basedOn w:val="Table5_903aac1a-dea9-47c8-9271-d210209dcb3f"/>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220616ef-5e80-4cb0-8375-5cddb2786cb0" w:customStyle="1">
    <w:name w:val="Table 7_220616ef-5e80-4cb0-8375-5cddb2786cb0"/>
    <w:basedOn w:val="Table6_ee1029a3-5cf2-42fe-b528-584d8a7988bf"/>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220616ef-5e80-4cb0-8375-5cddb2786cb0"/>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f8bf7194-2b51-4153-8b49-ef7a41118472" w:customStyle="1">
    <w:name w:val="Normal Table_f8bf7194-2b51-4153-8b49-ef7a4111847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2f5cf60-fb0c-44e0-acfd-a47b3434f544" w:customStyle="1">
    <w:name w:val="Table 1_92f5cf60-fb0c-44e0-acfd-a47b3434f544"/>
    <w:basedOn w:val="NormalTable_f8bf7194-2b51-4153-8b49-ef7a4111847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b7bcf51-72f3-423b-817f-0dab87ee537c" w:customStyle="1">
    <w:name w:val="Table 2_7b7bcf51-72f3-423b-817f-0dab87ee537c"/>
    <w:basedOn w:val="Table1_92f5cf60-fb0c-44e0-acfd-a47b3434f54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f811f745-0db2-4f0e-a050-f0a5c5cf6275" w:customStyle="1">
    <w:name w:val="Table 3_f811f745-0db2-4f0e-a050-f0a5c5cf6275"/>
    <w:basedOn w:val="Table2_7b7bcf51-72f3-423b-817f-0dab87ee537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2cb4a4da-5556-420b-a9ee-13637541eca3" w:customStyle="1">
    <w:name w:val="Table 4_2cb4a4da-5556-420b-a9ee-13637541eca3"/>
    <w:basedOn w:val="Table3_f811f745-0db2-4f0e-a050-f0a5c5cf6275"/>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956695d-5c80-4649-8cae-38800812e53e" w:customStyle="1">
    <w:name w:val="Table 5_b956695d-5c80-4649-8cae-38800812e53e"/>
    <w:basedOn w:val="Table4_2cb4a4da-5556-420b-a9ee-13637541eca3"/>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1a04c313-548d-4ff8-b623-2ccb7e6de26d" w:customStyle="1">
    <w:name w:val="Table 6_1a04c313-548d-4ff8-b623-2ccb7e6de26d"/>
    <w:basedOn w:val="Table5_b956695d-5c80-4649-8cae-38800812e53e"/>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605853f0-d909-46d6-8e8d-0351489f5746" w:customStyle="1">
    <w:name w:val="Table 7_605853f0-d909-46d6-8e8d-0351489f5746"/>
    <w:basedOn w:val="Table6_1a04c313-548d-4ff8-b623-2ccb7e6de26d"/>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f809b812-523d-4864-9f53-95f5fbf7cfa5" w:customStyle="1">
    <w:name w:val="Table 8_f809b812-523d-4864-9f53-95f5fbf7cfa5"/>
    <w:basedOn w:val="Table7_605853f0-d909-46d6-8e8d-0351489f5746"/>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f809b812-523d-4864-9f53-95f5fbf7cfa5"/>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bb964413-7037-4204-a1d2-806dc008e712" w:customStyle="1">
    <w:name w:val="Normal Table_bb964413-7037-4204-a1d2-806dc008e71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bb964413-7037-4204-a1d2-806dc008e71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1cd68aa2-227b-4fb0-9e3a-de099fde6bde" w:customStyle="1">
    <w:name w:val="Normal Table_1cd68aa2-227b-4fb0-9e3a-de099fde6bd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db82a43-18c4-4952-b8a6-c3b909503643" w:customStyle="1">
    <w:name w:val="Table NoRule 1_1db82a43-18c4-4952-b8a6-c3b909503643"/>
    <w:basedOn w:val="NormalTable_1cd68aa2-227b-4fb0-9e3a-de099fde6bde"/>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1db82a43-18c4-4952-b8a6-c3b909503643"/>
    <w:uiPriority w:val="99"/>
    <w:pPr>
      <w:pBdr/>
      <w:spacing/>
    </w:pPr>
    <w:rPr/>
    <w:tblPr>
      <w:tblInd w:w="475" w:type="dxa"/>
      <w:tblBorders/>
      <w:tblCellMar/>
    </w:tblPr>
    <w:trPr/>
    <w:tcPr>
      <w:tcBorders/>
      <w:shd w:val="clear" w:color="auto" w:fill="auto"/>
      <w:tcMar/>
      <w:vAlign w:val="top"/>
    </w:tcPr>
  </w:style>
  <w:style w:type="table" w:styleId="NormalTable_ccae601c-79a4-4e98-a7da-0f16466627b4" w:customStyle="1">
    <w:name w:val="Normal Table_ccae601c-79a4-4e98-a7da-0f16466627b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d7c2df2-46f5-4611-bf71-224e6b348fca" w:customStyle="1">
    <w:name w:val="Table NoRule 1_bd7c2df2-46f5-4611-bf71-224e6b348fca"/>
    <w:basedOn w:val="NormalTable_ccae601c-79a4-4e98-a7da-0f16466627b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0d4c5ab-b652-41da-ab8b-13710a9bc66a" w:customStyle="1">
    <w:name w:val="Table NoRule 2_b0d4c5ab-b652-41da-ab8b-13710a9bc66a"/>
    <w:basedOn w:val="TableNoRule1_bd7c2df2-46f5-4611-bf71-224e6b348fca"/>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b0d4c5ab-b652-41da-ab8b-13710a9bc66a"/>
    <w:uiPriority w:val="99"/>
    <w:pPr>
      <w:pBdr/>
      <w:spacing/>
    </w:pPr>
    <w:rPr/>
    <w:tblPr>
      <w:tblInd w:w="950" w:type="dxa"/>
      <w:tblBorders/>
      <w:tblCellMar/>
    </w:tblPr>
    <w:trPr/>
    <w:tcPr>
      <w:tcBorders/>
      <w:shd w:val="clear" w:color="auto" w:fill="auto"/>
      <w:tcMar/>
      <w:vAlign w:val="top"/>
    </w:tcPr>
  </w:style>
  <w:style w:type="table" w:styleId="NormalTable_a255462c-7996-4c72-be2a-bd34c630200f" w:customStyle="1">
    <w:name w:val="Normal Table_a255462c-7996-4c72-be2a-bd34c630200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caf4b226-f2aa-4ab6-8fdd-10a0e84a214f" w:customStyle="1">
    <w:name w:val="Table NoRule 1_caf4b226-f2aa-4ab6-8fdd-10a0e84a214f"/>
    <w:basedOn w:val="NormalTable_a255462c-7996-4c72-be2a-bd34c630200f"/>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4842e2db-42c3-4ca1-83f9-60736cfebebf" w:customStyle="1">
    <w:name w:val="Table NoRule 2_4842e2db-42c3-4ca1-83f9-60736cfebebf"/>
    <w:basedOn w:val="TableNoRule1_caf4b226-f2aa-4ab6-8fdd-10a0e84a214f"/>
    <w:uiPriority w:val="99"/>
    <w:pPr>
      <w:pBdr/>
      <w:spacing/>
    </w:pPr>
    <w:rPr/>
    <w:tblPr>
      <w:tblInd w:w="475" w:type="dxa"/>
      <w:tblBorders/>
      <w:tblCellMar/>
    </w:tblPr>
    <w:trPr/>
    <w:tcPr>
      <w:tcBorders/>
      <w:shd w:val="clear" w:color="auto" w:fill="auto"/>
      <w:tcMar/>
      <w:vAlign w:val="top"/>
    </w:tcPr>
  </w:style>
  <w:style w:type="table" w:styleId="TableNoRule3_c1c32e88-dbf0-4981-ae0c-b09b6d3d3fe5" w:customStyle="1">
    <w:name w:val="Table NoRule 3_c1c32e88-dbf0-4981-ae0c-b09b6d3d3fe5"/>
    <w:basedOn w:val="TableNoRule2_4842e2db-42c3-4ca1-83f9-60736cfebebf"/>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c1c32e88-dbf0-4981-ae0c-b09b6d3d3fe5"/>
    <w:uiPriority w:val="99"/>
    <w:pPr>
      <w:pBdr/>
      <w:spacing/>
    </w:pPr>
    <w:rPr/>
    <w:tblPr>
      <w:tblInd w:w="1440" w:type="dxa"/>
      <w:tblBorders/>
      <w:tblCellMar/>
    </w:tblPr>
    <w:trPr/>
    <w:tcPr>
      <w:tcBorders/>
      <w:shd w:val="clear" w:color="auto" w:fill="auto"/>
      <w:tcMar/>
      <w:vAlign w:val="top"/>
    </w:tcPr>
  </w:style>
  <w:style w:type="table" w:styleId="NormalTable_51075595-d7de-4f7c-a300-8907d60f7e22" w:customStyle="1">
    <w:name w:val="Normal Table_51075595-d7de-4f7c-a300-8907d60f7e2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e3c5372-ae30-4b1c-9a30-f4c31e18b039" w:customStyle="1">
    <w:name w:val="Table NoRule 1_5e3c5372-ae30-4b1c-9a30-f4c31e18b039"/>
    <w:basedOn w:val="NormalTable_51075595-d7de-4f7c-a300-8907d60f7e2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d062e82-8f95-40c8-b02a-2b8e2bb0436b" w:customStyle="1">
    <w:name w:val="Table NoRule 2_8d062e82-8f95-40c8-b02a-2b8e2bb0436b"/>
    <w:basedOn w:val="TableNoRule1_5e3c5372-ae30-4b1c-9a30-f4c31e18b039"/>
    <w:uiPriority w:val="99"/>
    <w:pPr>
      <w:pBdr/>
      <w:spacing/>
    </w:pPr>
    <w:rPr/>
    <w:tblPr>
      <w:tblInd w:w="475" w:type="dxa"/>
      <w:tblBorders/>
      <w:tblCellMar/>
    </w:tblPr>
    <w:trPr/>
    <w:tcPr>
      <w:tcBorders/>
      <w:shd w:val="clear" w:color="auto" w:fill="auto"/>
      <w:tcMar/>
      <w:vAlign w:val="top"/>
    </w:tcPr>
  </w:style>
  <w:style w:type="table" w:styleId="TableNoRule3_01801671-deb7-4144-985b-5ee243fb1dc4" w:customStyle="1">
    <w:name w:val="Table NoRule 3_01801671-deb7-4144-985b-5ee243fb1dc4"/>
    <w:basedOn w:val="TableNoRule2_8d062e82-8f95-40c8-b02a-2b8e2bb0436b"/>
    <w:uiPriority w:val="99"/>
    <w:pPr>
      <w:pBdr/>
      <w:spacing/>
    </w:pPr>
    <w:rPr/>
    <w:tblPr>
      <w:tblInd w:w="950" w:type="dxa"/>
      <w:tblBorders/>
      <w:tblCellMar/>
    </w:tblPr>
    <w:trPr/>
    <w:tcPr>
      <w:tcBorders/>
      <w:shd w:val="clear" w:color="auto" w:fill="auto"/>
      <w:tcMar/>
      <w:vAlign w:val="top"/>
    </w:tcPr>
  </w:style>
  <w:style w:type="table" w:styleId="TableNoRule4_819216ad-a1c5-4025-a1e0-e39fe559bf39" w:customStyle="1">
    <w:name w:val="Table NoRule 4_819216ad-a1c5-4025-a1e0-e39fe559bf39"/>
    <w:basedOn w:val="TableNoRule3_01801671-deb7-4144-985b-5ee243fb1dc4"/>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819216ad-a1c5-4025-a1e0-e39fe559bf39"/>
    <w:uiPriority w:val="99"/>
    <w:pPr>
      <w:pBdr/>
      <w:spacing/>
    </w:pPr>
    <w:rPr/>
    <w:tblPr>
      <w:tblInd w:w="1915" w:type="dxa"/>
      <w:tblBorders/>
      <w:tblCellMar/>
    </w:tblPr>
    <w:trPr/>
    <w:tcPr>
      <w:tcBorders/>
      <w:shd w:val="clear" w:color="auto" w:fill="auto"/>
      <w:tcMar/>
      <w:vAlign w:val="top"/>
    </w:tcPr>
  </w:style>
  <w:style w:type="table" w:styleId="NormalTable_5f4481c7-0c5b-42ce-836f-54b9bea0d1c0" w:customStyle="1">
    <w:name w:val="Normal Table_5f4481c7-0c5b-42ce-836f-54b9bea0d1c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acb6a6f-72f4-4b60-8b1e-e2c359e3d23c" w:customStyle="1">
    <w:name w:val="Table NoRule 1_7acb6a6f-72f4-4b60-8b1e-e2c359e3d23c"/>
    <w:basedOn w:val="NormalTable_5f4481c7-0c5b-42ce-836f-54b9bea0d1c0"/>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ad4302c0-9ec9-4ffd-9a48-31bf3b1d568c" w:customStyle="1">
    <w:name w:val="Table NoRule 2_ad4302c0-9ec9-4ffd-9a48-31bf3b1d568c"/>
    <w:basedOn w:val="TableNoRule1_7acb6a6f-72f4-4b60-8b1e-e2c359e3d23c"/>
    <w:uiPriority w:val="99"/>
    <w:pPr>
      <w:pBdr/>
      <w:spacing/>
    </w:pPr>
    <w:rPr/>
    <w:tblPr>
      <w:tblInd w:w="475" w:type="dxa"/>
      <w:tblBorders/>
      <w:tblCellMar/>
    </w:tblPr>
    <w:trPr/>
    <w:tcPr>
      <w:tcBorders/>
      <w:shd w:val="clear" w:color="auto" w:fill="auto"/>
      <w:tcMar/>
      <w:vAlign w:val="top"/>
    </w:tcPr>
  </w:style>
  <w:style w:type="table" w:styleId="TableNoRule3_6da4cad2-5dab-4cf4-b6b6-e72bbf75c41e" w:customStyle="1">
    <w:name w:val="Table NoRule 3_6da4cad2-5dab-4cf4-b6b6-e72bbf75c41e"/>
    <w:basedOn w:val="TableNoRule2_ad4302c0-9ec9-4ffd-9a48-31bf3b1d568c"/>
    <w:uiPriority w:val="99"/>
    <w:pPr>
      <w:pBdr/>
      <w:spacing/>
    </w:pPr>
    <w:rPr/>
    <w:tblPr>
      <w:tblInd w:w="950" w:type="dxa"/>
      <w:tblBorders/>
      <w:tblCellMar/>
    </w:tblPr>
    <w:trPr/>
    <w:tcPr>
      <w:tcBorders/>
      <w:shd w:val="clear" w:color="auto" w:fill="auto"/>
      <w:tcMar/>
      <w:vAlign w:val="top"/>
    </w:tcPr>
  </w:style>
  <w:style w:type="table" w:styleId="TableNoRule4_21de6eb0-8bdd-4bec-9ddb-1300ca244b9c" w:customStyle="1">
    <w:name w:val="Table NoRule 4_21de6eb0-8bdd-4bec-9ddb-1300ca244b9c"/>
    <w:basedOn w:val="TableNoRule3_6da4cad2-5dab-4cf4-b6b6-e72bbf75c41e"/>
    <w:uiPriority w:val="99"/>
    <w:pPr>
      <w:pBdr/>
      <w:spacing/>
    </w:pPr>
    <w:rPr/>
    <w:tblPr>
      <w:tblInd w:w="1440" w:type="dxa"/>
      <w:tblBorders/>
      <w:tblCellMar/>
    </w:tblPr>
    <w:trPr/>
    <w:tcPr>
      <w:tcBorders/>
      <w:shd w:val="clear" w:color="auto" w:fill="auto"/>
      <w:tcMar/>
      <w:vAlign w:val="top"/>
    </w:tcPr>
  </w:style>
  <w:style w:type="table" w:styleId="TableNoRule5_b35708f3-6dd0-4192-9bf8-200f54ff181d" w:customStyle="1">
    <w:name w:val="Table NoRule 5_b35708f3-6dd0-4192-9bf8-200f54ff181d"/>
    <w:basedOn w:val="TableNoRule4_21de6eb0-8bdd-4bec-9ddb-1300ca244b9c"/>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b35708f3-6dd0-4192-9bf8-200f54ff181d"/>
    <w:uiPriority w:val="99"/>
    <w:pPr>
      <w:pBdr/>
      <w:spacing/>
    </w:pPr>
    <w:rPr/>
    <w:tblPr>
      <w:tblInd w:w="2390" w:type="dxa"/>
      <w:tblBorders/>
      <w:tblCellMar/>
    </w:tblPr>
    <w:trPr/>
    <w:tcPr>
      <w:tcBorders/>
      <w:shd w:val="clear" w:color="auto" w:fill="auto"/>
      <w:tcMar/>
      <w:vAlign w:val="top"/>
    </w:tcPr>
  </w:style>
  <w:style w:type="table" w:styleId="NormalTable_8424ca11-00f8-4ea2-bcc4-76f31b80ccf7" w:customStyle="1">
    <w:name w:val="Normal Table_8424ca11-00f8-4ea2-bcc4-76f31b80ccf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4809a4e7-08c2-4462-8541-e0326ab273de" w:customStyle="1">
    <w:name w:val="Table NoRule 1_4809a4e7-08c2-4462-8541-e0326ab273de"/>
    <w:basedOn w:val="NormalTable_8424ca11-00f8-4ea2-bcc4-76f31b80ccf7"/>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958a4a6f-97a5-4b74-94a3-a7b6d359ae58" w:customStyle="1">
    <w:name w:val="Table NoRule 2_958a4a6f-97a5-4b74-94a3-a7b6d359ae58"/>
    <w:basedOn w:val="TableNoRule1_4809a4e7-08c2-4462-8541-e0326ab273de"/>
    <w:uiPriority w:val="99"/>
    <w:pPr>
      <w:pBdr/>
      <w:spacing/>
    </w:pPr>
    <w:rPr/>
    <w:tblPr>
      <w:tblInd w:w="475" w:type="dxa"/>
      <w:tblBorders/>
      <w:tblCellMar/>
    </w:tblPr>
    <w:trPr/>
    <w:tcPr>
      <w:tcBorders/>
      <w:shd w:val="clear" w:color="auto" w:fill="auto"/>
      <w:tcMar/>
      <w:vAlign w:val="top"/>
    </w:tcPr>
  </w:style>
  <w:style w:type="table" w:styleId="TableNoRule3_c3ac5b95-c74b-47ed-a0de-96b19e2cde2c" w:customStyle="1">
    <w:name w:val="Table NoRule 3_c3ac5b95-c74b-47ed-a0de-96b19e2cde2c"/>
    <w:basedOn w:val="TableNoRule2_958a4a6f-97a5-4b74-94a3-a7b6d359ae58"/>
    <w:uiPriority w:val="99"/>
    <w:pPr>
      <w:pBdr/>
      <w:spacing/>
    </w:pPr>
    <w:rPr/>
    <w:tblPr>
      <w:tblInd w:w="950" w:type="dxa"/>
      <w:tblBorders/>
      <w:tblCellMar/>
    </w:tblPr>
    <w:trPr/>
    <w:tcPr>
      <w:tcBorders/>
      <w:shd w:val="clear" w:color="auto" w:fill="auto"/>
      <w:tcMar/>
      <w:vAlign w:val="top"/>
    </w:tcPr>
  </w:style>
  <w:style w:type="table" w:styleId="TableNoRule4_b3aef007-3227-41ab-adf2-cf7b89e6e94a" w:customStyle="1">
    <w:name w:val="Table NoRule 4_b3aef007-3227-41ab-adf2-cf7b89e6e94a"/>
    <w:basedOn w:val="TableNoRule3_c3ac5b95-c74b-47ed-a0de-96b19e2cde2c"/>
    <w:uiPriority w:val="99"/>
    <w:pPr>
      <w:pBdr/>
      <w:spacing/>
    </w:pPr>
    <w:rPr/>
    <w:tblPr>
      <w:tblInd w:w="1440" w:type="dxa"/>
      <w:tblBorders/>
      <w:tblCellMar/>
    </w:tblPr>
    <w:trPr/>
    <w:tcPr>
      <w:tcBorders/>
      <w:shd w:val="clear" w:color="auto" w:fill="auto"/>
      <w:tcMar/>
      <w:vAlign w:val="top"/>
    </w:tcPr>
  </w:style>
  <w:style w:type="table" w:styleId="TableNoRule5_5e45cf4a-d231-4014-888d-6a522b239c33" w:customStyle="1">
    <w:name w:val="Table NoRule 5_5e45cf4a-d231-4014-888d-6a522b239c33"/>
    <w:basedOn w:val="TableNoRule4_b3aef007-3227-41ab-adf2-cf7b89e6e94a"/>
    <w:uiPriority w:val="99"/>
    <w:pPr>
      <w:pBdr/>
      <w:spacing/>
    </w:pPr>
    <w:rPr/>
    <w:tblPr>
      <w:tblInd w:w="1915" w:type="dxa"/>
      <w:tblBorders/>
      <w:tblCellMar/>
    </w:tblPr>
    <w:trPr/>
    <w:tcPr>
      <w:tcBorders/>
      <w:shd w:val="clear" w:color="auto" w:fill="auto"/>
      <w:tcMar/>
      <w:vAlign w:val="top"/>
    </w:tcPr>
  </w:style>
  <w:style w:type="table" w:styleId="TableNoRule6_5f8ef290-c7aa-47d0-9ad1-6452d65836fc" w:customStyle="1">
    <w:name w:val="Table NoRule 6_5f8ef290-c7aa-47d0-9ad1-6452d65836fc"/>
    <w:basedOn w:val="TableNoRule5_5e45cf4a-d231-4014-888d-6a522b239c33"/>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5f8ef290-c7aa-47d0-9ad1-6452d65836fc"/>
    <w:uiPriority w:val="99"/>
    <w:pPr>
      <w:pBdr/>
      <w:spacing/>
    </w:pPr>
    <w:rPr/>
    <w:tblPr>
      <w:tblInd w:w="2880" w:type="dxa"/>
      <w:tblBorders/>
      <w:tblCellMar/>
    </w:tblPr>
    <w:trPr/>
    <w:tcPr>
      <w:tcBorders/>
      <w:shd w:val="clear" w:color="auto" w:fill="auto"/>
      <w:tcMar/>
      <w:vAlign w:val="top"/>
    </w:tcPr>
  </w:style>
  <w:style w:type="table" w:styleId="NormalTable_85f97426-0194-44b9-ad2d-f75b094d5036" w:customStyle="1">
    <w:name w:val="Normal Table_85f97426-0194-44b9-ad2d-f75b094d503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e31ee22-82fe-4157-a49d-7a95d156f102" w:customStyle="1">
    <w:name w:val="Table NoRule 1_8e31ee22-82fe-4157-a49d-7a95d156f102"/>
    <w:basedOn w:val="NormalTable_85f97426-0194-44b9-ad2d-f75b094d503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b3def8ad-4453-49d0-bb5e-f9127c61d499" w:customStyle="1">
    <w:name w:val="Table NoRule 2_b3def8ad-4453-49d0-bb5e-f9127c61d499"/>
    <w:basedOn w:val="TableNoRule1_8e31ee22-82fe-4157-a49d-7a95d156f102"/>
    <w:uiPriority w:val="99"/>
    <w:pPr>
      <w:pBdr/>
      <w:spacing/>
    </w:pPr>
    <w:rPr/>
    <w:tblPr>
      <w:tblInd w:w="475" w:type="dxa"/>
      <w:tblBorders/>
      <w:tblCellMar/>
    </w:tblPr>
    <w:trPr/>
    <w:tcPr>
      <w:tcBorders/>
      <w:shd w:val="clear" w:color="auto" w:fill="auto"/>
      <w:tcMar/>
      <w:vAlign w:val="top"/>
    </w:tcPr>
  </w:style>
  <w:style w:type="table" w:styleId="TableNoRule3_1f438ae5-b529-4a25-a9f1-742aeeb9190f" w:customStyle="1">
    <w:name w:val="Table NoRule 3_1f438ae5-b529-4a25-a9f1-742aeeb9190f"/>
    <w:basedOn w:val="TableNoRule2_b3def8ad-4453-49d0-bb5e-f9127c61d499"/>
    <w:uiPriority w:val="99"/>
    <w:pPr>
      <w:pBdr/>
      <w:spacing/>
    </w:pPr>
    <w:rPr/>
    <w:tblPr>
      <w:tblInd w:w="950" w:type="dxa"/>
      <w:tblBorders/>
      <w:tblCellMar/>
    </w:tblPr>
    <w:trPr/>
    <w:tcPr>
      <w:tcBorders/>
      <w:shd w:val="clear" w:color="auto" w:fill="auto"/>
      <w:tcMar/>
      <w:vAlign w:val="top"/>
    </w:tcPr>
  </w:style>
  <w:style w:type="table" w:styleId="TableNoRule4_79aae80c-826a-49bc-9536-c272bcd65fa3" w:customStyle="1">
    <w:name w:val="Table NoRule 4_79aae80c-826a-49bc-9536-c272bcd65fa3"/>
    <w:basedOn w:val="TableNoRule3_1f438ae5-b529-4a25-a9f1-742aeeb9190f"/>
    <w:uiPriority w:val="99"/>
    <w:pPr>
      <w:pBdr/>
      <w:spacing/>
    </w:pPr>
    <w:rPr/>
    <w:tblPr>
      <w:tblInd w:w="1440" w:type="dxa"/>
      <w:tblBorders/>
      <w:tblCellMar/>
    </w:tblPr>
    <w:trPr/>
    <w:tcPr>
      <w:tcBorders/>
      <w:shd w:val="clear" w:color="auto" w:fill="auto"/>
      <w:tcMar/>
      <w:vAlign w:val="top"/>
    </w:tcPr>
  </w:style>
  <w:style w:type="table" w:styleId="TableNoRule5_f98f1579-40ad-4425-ada5-f0c31e2893db" w:customStyle="1">
    <w:name w:val="Table NoRule 5_f98f1579-40ad-4425-ada5-f0c31e2893db"/>
    <w:basedOn w:val="TableNoRule4_79aae80c-826a-49bc-9536-c272bcd65fa3"/>
    <w:uiPriority w:val="99"/>
    <w:pPr>
      <w:pBdr/>
      <w:spacing/>
    </w:pPr>
    <w:rPr/>
    <w:tblPr>
      <w:tblInd w:w="1915" w:type="dxa"/>
      <w:tblBorders/>
      <w:tblCellMar/>
    </w:tblPr>
    <w:trPr/>
    <w:tcPr>
      <w:tcBorders/>
      <w:shd w:val="clear" w:color="auto" w:fill="auto"/>
      <w:tcMar/>
      <w:vAlign w:val="top"/>
    </w:tcPr>
  </w:style>
  <w:style w:type="table" w:styleId="TableNoRule6_4d8436d9-bcc3-49eb-be3b-211941620f5f" w:customStyle="1">
    <w:name w:val="Table NoRule 6_4d8436d9-bcc3-49eb-be3b-211941620f5f"/>
    <w:basedOn w:val="TableNoRule5_f98f1579-40ad-4425-ada5-f0c31e2893db"/>
    <w:uiPriority w:val="99"/>
    <w:pPr>
      <w:pBdr/>
      <w:spacing/>
    </w:pPr>
    <w:rPr/>
    <w:tblPr>
      <w:tblInd w:w="2390" w:type="dxa"/>
      <w:tblBorders/>
      <w:tblCellMar/>
    </w:tblPr>
    <w:trPr/>
    <w:tcPr>
      <w:tcBorders/>
      <w:shd w:val="clear" w:color="auto" w:fill="auto"/>
      <w:tcMar/>
      <w:vAlign w:val="top"/>
    </w:tcPr>
  </w:style>
  <w:style w:type="table" w:styleId="TableNoRule7_a69f86df-9f8f-4b5f-b6b5-34834e96e542" w:customStyle="1">
    <w:name w:val="Table NoRule 7_a69f86df-9f8f-4b5f-b6b5-34834e96e542"/>
    <w:basedOn w:val="TableNoRule6_4d8436d9-bcc3-49eb-be3b-211941620f5f"/>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a69f86df-9f8f-4b5f-b6b5-34834e96e542"/>
    <w:uiPriority w:val="99"/>
    <w:pPr>
      <w:pBdr/>
      <w:spacing/>
    </w:pPr>
    <w:rPr/>
    <w:tblPr>
      <w:tblInd w:w="3355" w:type="dxa"/>
      <w:tblBorders/>
      <w:tblCellMar/>
    </w:tblPr>
    <w:trPr/>
    <w:tcPr>
      <w:tcBorders/>
      <w:shd w:val="clear" w:color="auto" w:fill="auto"/>
      <w:tcMar/>
      <w:vAlign w:val="top"/>
    </w:tcPr>
  </w:style>
  <w:style w:type="table" w:styleId="NormalTable_e461448f-bcdd-49bf-a075-7ab41548308b" w:customStyle="1">
    <w:name w:val="Normal Table_e461448f-bcdd-49bf-a075-7ab41548308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3b8d798f-a88b-4638-857a-dedb4e235048" w:customStyle="1">
    <w:name w:val="Table NoRule 1_3b8d798f-a88b-4638-857a-dedb4e235048"/>
    <w:basedOn w:val="NormalTable_e461448f-bcdd-49bf-a075-7ab41548308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dbc417ec-dc7f-4754-96a1-f07c50c057c8" w:customStyle="1">
    <w:name w:val="Table NoRule 2_dbc417ec-dc7f-4754-96a1-f07c50c057c8"/>
    <w:basedOn w:val="TableNoRule1_3b8d798f-a88b-4638-857a-dedb4e235048"/>
    <w:uiPriority w:val="99"/>
    <w:pPr>
      <w:pBdr/>
      <w:spacing/>
    </w:pPr>
    <w:rPr/>
    <w:tblPr>
      <w:tblInd w:w="475" w:type="dxa"/>
      <w:tblBorders/>
      <w:tblCellMar/>
    </w:tblPr>
    <w:trPr/>
    <w:tcPr>
      <w:tcBorders/>
      <w:shd w:val="clear" w:color="auto" w:fill="auto"/>
      <w:tcMar/>
      <w:vAlign w:val="top"/>
    </w:tcPr>
  </w:style>
  <w:style w:type="table" w:styleId="TableNoRule3_0162a7bc-a7d8-4312-8595-9ec723b93917" w:customStyle="1">
    <w:name w:val="Table NoRule 3_0162a7bc-a7d8-4312-8595-9ec723b93917"/>
    <w:basedOn w:val="TableNoRule2_dbc417ec-dc7f-4754-96a1-f07c50c057c8"/>
    <w:uiPriority w:val="99"/>
    <w:pPr>
      <w:pBdr/>
      <w:spacing/>
    </w:pPr>
    <w:rPr/>
    <w:tblPr>
      <w:tblInd w:w="950" w:type="dxa"/>
      <w:tblBorders/>
      <w:tblCellMar/>
    </w:tblPr>
    <w:trPr/>
    <w:tcPr>
      <w:tcBorders/>
      <w:shd w:val="clear" w:color="auto" w:fill="auto"/>
      <w:tcMar/>
      <w:vAlign w:val="top"/>
    </w:tcPr>
  </w:style>
  <w:style w:type="table" w:styleId="TableNoRule4_84b5c336-0a2b-4e20-8f75-e304fb2f17c7" w:customStyle="1">
    <w:name w:val="Table NoRule 4_84b5c336-0a2b-4e20-8f75-e304fb2f17c7"/>
    <w:basedOn w:val="TableNoRule3_0162a7bc-a7d8-4312-8595-9ec723b93917"/>
    <w:uiPriority w:val="99"/>
    <w:pPr>
      <w:pBdr/>
      <w:spacing/>
    </w:pPr>
    <w:rPr/>
    <w:tblPr>
      <w:tblInd w:w="1440" w:type="dxa"/>
      <w:tblBorders/>
      <w:tblCellMar/>
    </w:tblPr>
    <w:trPr/>
    <w:tcPr>
      <w:tcBorders/>
      <w:shd w:val="clear" w:color="auto" w:fill="auto"/>
      <w:tcMar/>
      <w:vAlign w:val="top"/>
    </w:tcPr>
  </w:style>
  <w:style w:type="table" w:styleId="TableNoRule5_a7d25764-a8ef-458d-8c72-c8483bbeece5" w:customStyle="1">
    <w:name w:val="Table NoRule 5_a7d25764-a8ef-458d-8c72-c8483bbeece5"/>
    <w:basedOn w:val="TableNoRule4_84b5c336-0a2b-4e20-8f75-e304fb2f17c7"/>
    <w:uiPriority w:val="99"/>
    <w:pPr>
      <w:pBdr/>
      <w:spacing/>
    </w:pPr>
    <w:rPr/>
    <w:tblPr>
      <w:tblInd w:w="1915" w:type="dxa"/>
      <w:tblBorders/>
      <w:tblCellMar/>
    </w:tblPr>
    <w:trPr/>
    <w:tcPr>
      <w:tcBorders/>
      <w:shd w:val="clear" w:color="auto" w:fill="auto"/>
      <w:tcMar/>
      <w:vAlign w:val="top"/>
    </w:tcPr>
  </w:style>
  <w:style w:type="table" w:styleId="TableNoRule6_470b8cfb-f3bd-4dbc-905d-42fd3485b340" w:customStyle="1">
    <w:name w:val="Table NoRule 6_470b8cfb-f3bd-4dbc-905d-42fd3485b340"/>
    <w:basedOn w:val="TableNoRule5_a7d25764-a8ef-458d-8c72-c8483bbeece5"/>
    <w:uiPriority w:val="99"/>
    <w:pPr>
      <w:pBdr/>
      <w:spacing/>
    </w:pPr>
    <w:rPr/>
    <w:tblPr>
      <w:tblInd w:w="2390" w:type="dxa"/>
      <w:tblBorders/>
      <w:tblCellMar/>
    </w:tblPr>
    <w:trPr/>
    <w:tcPr>
      <w:tcBorders/>
      <w:shd w:val="clear" w:color="auto" w:fill="auto"/>
      <w:tcMar/>
      <w:vAlign w:val="top"/>
    </w:tcPr>
  </w:style>
  <w:style w:type="table" w:styleId="TableNoRule7_3059c353-7c44-4737-bec3-9b3ba0db2e72" w:customStyle="1">
    <w:name w:val="Table NoRule 7_3059c353-7c44-4737-bec3-9b3ba0db2e72"/>
    <w:basedOn w:val="TableNoRule6_470b8cfb-f3bd-4dbc-905d-42fd3485b340"/>
    <w:uiPriority w:val="99"/>
    <w:pPr>
      <w:pBdr/>
      <w:spacing/>
    </w:pPr>
    <w:rPr/>
    <w:tblPr>
      <w:tblInd w:w="2880" w:type="dxa"/>
      <w:tblBorders/>
      <w:tblCellMar/>
    </w:tblPr>
    <w:trPr/>
    <w:tcPr>
      <w:tcBorders/>
      <w:shd w:val="clear" w:color="auto" w:fill="auto"/>
      <w:tcMar/>
      <w:vAlign w:val="top"/>
    </w:tcPr>
  </w:style>
  <w:style w:type="table" w:styleId="TableNoRule8_94e74c02-1070-4605-bef9-b1ac336a2d04" w:customStyle="1">
    <w:name w:val="Table NoRule 8_94e74c02-1070-4605-bef9-b1ac336a2d04"/>
    <w:basedOn w:val="TableNoRule7_3059c353-7c44-4737-bec3-9b3ba0db2e72"/>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94e74c02-1070-4605-bef9-b1ac336a2d04"/>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2" Type="http://schemas.openxmlformats.org/officeDocument/2006/relationships/footer" Target="footer2.xml" /><Relationship Id="rId1"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2026-06-03T00:21:47Z</dcterms:created>
</cp:coreProperties>
</file>