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DE236" w14:textId="77777777" w:rsidR="00E84FB4" w:rsidRDefault="00000000">
      <w:pPr>
        <w:spacing w:after="65"/>
        <w:ind w:left="4487" w:right="-756" w:firstLine="0"/>
        <w:jc w:val="left"/>
      </w:pPr>
      <w:r>
        <w:rPr>
          <w:noProof/>
        </w:rPr>
        <w:drawing>
          <wp:inline distT="0" distB="0" distL="0" distR="0" wp14:anchorId="40043248" wp14:editId="7C09CBBE">
            <wp:extent cx="1390375" cy="132612"/>
            <wp:effectExtent l="0" t="0" r="0" b="0"/>
            <wp:docPr id="407" name="Picture 407"/>
            <wp:cNvGraphicFramePr/>
            <a:graphic xmlns:a="http://schemas.openxmlformats.org/drawingml/2006/main">
              <a:graphicData uri="http://schemas.openxmlformats.org/drawingml/2006/picture">
                <pic:pic xmlns:pic="http://schemas.openxmlformats.org/drawingml/2006/picture">
                  <pic:nvPicPr>
                    <pic:cNvPr id="407" name="Picture 407"/>
                    <pic:cNvPicPr/>
                  </pic:nvPicPr>
                  <pic:blipFill>
                    <a:blip r:embed="rId5"/>
                    <a:stretch>
                      <a:fillRect/>
                    </a:stretch>
                  </pic:blipFill>
                  <pic:spPr>
                    <a:xfrm>
                      <a:off x="0" y="0"/>
                      <a:ext cx="1390375" cy="132612"/>
                    </a:xfrm>
                    <a:prstGeom prst="rect">
                      <a:avLst/>
                    </a:prstGeom>
                  </pic:spPr>
                </pic:pic>
              </a:graphicData>
            </a:graphic>
          </wp:inline>
        </w:drawing>
      </w:r>
    </w:p>
    <w:p w14:paraId="685BFFFD" w14:textId="77777777" w:rsidR="00E84FB4" w:rsidRDefault="00000000">
      <w:pPr>
        <w:spacing w:after="1034"/>
        <w:ind w:left="-2060" w:right="-331" w:firstLine="0"/>
        <w:jc w:val="left"/>
      </w:pPr>
      <w:r>
        <w:rPr>
          <w:noProof/>
          <w:sz w:val="22"/>
        </w:rPr>
        <mc:AlternateContent>
          <mc:Choice Requires="wpg">
            <w:drawing>
              <wp:inline distT="0" distB="0" distL="0" distR="0" wp14:anchorId="1EDA4531" wp14:editId="369D245F">
                <wp:extent cx="5277936" cy="297235"/>
                <wp:effectExtent l="0" t="0" r="0" b="0"/>
                <wp:docPr id="18053" name="Group 18053"/>
                <wp:cNvGraphicFramePr/>
                <a:graphic xmlns:a="http://schemas.openxmlformats.org/drawingml/2006/main">
                  <a:graphicData uri="http://schemas.microsoft.com/office/word/2010/wordprocessingGroup">
                    <wpg:wgp>
                      <wpg:cNvGrpSpPr/>
                      <wpg:grpSpPr>
                        <a:xfrm>
                          <a:off x="0" y="0"/>
                          <a:ext cx="5277936" cy="297235"/>
                          <a:chOff x="0" y="0"/>
                          <a:chExt cx="5277936" cy="297235"/>
                        </a:xfrm>
                      </wpg:grpSpPr>
                      <pic:pic xmlns:pic="http://schemas.openxmlformats.org/drawingml/2006/picture">
                        <pic:nvPicPr>
                          <pic:cNvPr id="19135" name="Picture 19135"/>
                          <pic:cNvPicPr/>
                        </pic:nvPicPr>
                        <pic:blipFill>
                          <a:blip r:embed="rId6"/>
                          <a:stretch>
                            <a:fillRect/>
                          </a:stretch>
                        </pic:blipFill>
                        <pic:spPr>
                          <a:xfrm>
                            <a:off x="0" y="54874"/>
                            <a:ext cx="5213906" cy="242361"/>
                          </a:xfrm>
                          <a:prstGeom prst="rect">
                            <a:avLst/>
                          </a:prstGeom>
                        </pic:spPr>
                      </pic:pic>
                      <wps:wsp>
                        <wps:cNvPr id="23" name="Rectangle 23"/>
                        <wps:cNvSpPr/>
                        <wps:spPr>
                          <a:xfrm>
                            <a:off x="4248876" y="0"/>
                            <a:ext cx="413636" cy="225029"/>
                          </a:xfrm>
                          <a:prstGeom prst="rect">
                            <a:avLst/>
                          </a:prstGeom>
                          <a:ln>
                            <a:noFill/>
                          </a:ln>
                        </wps:spPr>
                        <wps:txbx>
                          <w:txbxContent>
                            <w:p w14:paraId="5C700F73" w14:textId="77777777" w:rsidR="00E84FB4" w:rsidRDefault="00000000">
                              <w:pPr>
                                <w:spacing w:after="160"/>
                                <w:ind w:left="0" w:firstLine="0"/>
                                <w:jc w:val="left"/>
                              </w:pPr>
                              <w:r>
                                <w:rPr>
                                  <w:rFonts w:ascii="Times New Roman" w:eastAsia="Times New Roman" w:hAnsi="Times New Roman" w:cs="Times New Roman"/>
                                  <w:sz w:val="26"/>
                                  <w:vertAlign w:val="superscript"/>
                                </w:rPr>
                                <w:t>SHA</w:t>
                              </w:r>
                            </w:p>
                          </w:txbxContent>
                        </wps:txbx>
                        <wps:bodyPr horzOverflow="overflow" vert="horz" lIns="0" tIns="0" rIns="0" bIns="0" rtlCol="0">
                          <a:noAutofit/>
                        </wps:bodyPr>
                      </wps:wsp>
                      <wps:wsp>
                        <wps:cNvPr id="24" name="Rectangle 24"/>
                        <wps:cNvSpPr/>
                        <wps:spPr>
                          <a:xfrm>
                            <a:off x="4546160" y="0"/>
                            <a:ext cx="510963" cy="225029"/>
                          </a:xfrm>
                          <a:prstGeom prst="rect">
                            <a:avLst/>
                          </a:prstGeom>
                          <a:ln>
                            <a:noFill/>
                          </a:ln>
                        </wps:spPr>
                        <wps:txbx>
                          <w:txbxContent>
                            <w:p w14:paraId="6E66CE3D" w14:textId="77777777" w:rsidR="00E84FB4" w:rsidRDefault="00000000">
                              <w:pPr>
                                <w:spacing w:after="160"/>
                                <w:ind w:left="0" w:firstLine="0"/>
                                <w:jc w:val="left"/>
                              </w:pPr>
                              <w:r>
                                <w:rPr>
                                  <w:rFonts w:ascii="Times New Roman" w:eastAsia="Times New Roman" w:hAnsi="Times New Roman" w:cs="Times New Roman"/>
                                  <w:sz w:val="26"/>
                                </w:rPr>
                                <w:t xml:space="preserve">RES </w:t>
                              </w:r>
                            </w:p>
                          </w:txbxContent>
                        </wps:txbx>
                        <wps:bodyPr horzOverflow="overflow" vert="horz" lIns="0" tIns="0" rIns="0" bIns="0" rtlCol="0">
                          <a:noAutofit/>
                        </wps:bodyPr>
                      </wps:wsp>
                      <wps:wsp>
                        <wps:cNvPr id="22" name="Rectangle 22"/>
                        <wps:cNvSpPr/>
                        <wps:spPr>
                          <a:xfrm>
                            <a:off x="5021814" y="36583"/>
                            <a:ext cx="340642" cy="158129"/>
                          </a:xfrm>
                          <a:prstGeom prst="rect">
                            <a:avLst/>
                          </a:prstGeom>
                          <a:ln>
                            <a:noFill/>
                          </a:ln>
                        </wps:spPr>
                        <wps:txbx>
                          <w:txbxContent>
                            <w:p w14:paraId="7EA27DB0" w14:textId="77777777" w:rsidR="00E84FB4" w:rsidRDefault="00000000">
                              <w:pPr>
                                <w:spacing w:after="160"/>
                                <w:ind w:left="0" w:firstLine="0"/>
                                <w:jc w:val="left"/>
                              </w:pPr>
                              <w:r>
                                <w:rPr>
                                  <w:rFonts w:ascii="Times New Roman" w:eastAsia="Times New Roman" w:hAnsi="Times New Roman" w:cs="Times New Roman"/>
                                  <w:sz w:val="28"/>
                                </w:rPr>
                                <w:t>420</w:t>
                              </w:r>
                            </w:p>
                          </w:txbxContent>
                        </wps:txbx>
                        <wps:bodyPr horzOverflow="overflow" vert="horz" lIns="0" tIns="0" rIns="0" bIns="0" rtlCol="0">
                          <a:noAutofit/>
                        </wps:bodyPr>
                      </wps:wsp>
                    </wpg:wgp>
                  </a:graphicData>
                </a:graphic>
              </wp:inline>
            </w:drawing>
          </mc:Choice>
          <mc:Fallback xmlns:a="http://schemas.openxmlformats.org/drawingml/2006/main">
            <w:pict>
              <v:group id="Group 18053" style="width:415.585pt;height:23.4043pt;mso-position-horizontal-relative:char;mso-position-vertical-relative:line" coordsize="52779,2972">
                <v:shape id="Picture 19135" style="position:absolute;width:52139;height:2423;left:0;top:548;" filled="f">
                  <v:imagedata r:id="rId7"/>
                </v:shape>
                <v:rect id="Rectangle 23" style="position:absolute;width:4136;height:2250;left:42488;top:0;" filled="f" stroked="f">
                  <v:textbox inset="0,0,0,0">
                    <w:txbxContent>
                      <w:p>
                        <w:pPr>
                          <w:spacing w:before="0" w:after="160" w:line="259" w:lineRule="auto"/>
                          <w:ind w:left="0" w:firstLine="0"/>
                          <w:jc w:val="left"/>
                        </w:pPr>
                        <w:r>
                          <w:rPr>
                            <w:rFonts w:cs="Times New Roman" w:hAnsi="Times New Roman" w:eastAsia="Times New Roman" w:ascii="Times New Roman"/>
                            <w:sz w:val="26"/>
                            <w:vertAlign w:val="superscript"/>
                          </w:rPr>
                          <w:t xml:space="preserve">SHA</w:t>
                        </w:r>
                      </w:p>
                    </w:txbxContent>
                  </v:textbox>
                </v:rect>
                <v:rect id="Rectangle 24" style="position:absolute;width:5109;height:2250;left:45461;top:0;" filled="f" stroked="f">
                  <v:textbox inset="0,0,0,0">
                    <w:txbxContent>
                      <w:p>
                        <w:pPr>
                          <w:spacing w:before="0" w:after="160" w:line="259" w:lineRule="auto"/>
                          <w:ind w:left="0" w:firstLine="0"/>
                          <w:jc w:val="left"/>
                        </w:pPr>
                        <w:r>
                          <w:rPr>
                            <w:rFonts w:cs="Times New Roman" w:hAnsi="Times New Roman" w:eastAsia="Times New Roman" w:ascii="Times New Roman"/>
                            <w:sz w:val="26"/>
                          </w:rPr>
                          <w:t xml:space="preserve">RES </w:t>
                        </w:r>
                      </w:p>
                    </w:txbxContent>
                  </v:textbox>
                </v:rect>
                <v:rect id="Rectangle 22" style="position:absolute;width:3406;height:1581;left:50218;top:365;" filled="f" stroked="f">
                  <v:textbox inset="0,0,0,0">
                    <w:txbxContent>
                      <w:p>
                        <w:pPr>
                          <w:spacing w:before="0" w:after="160" w:line="259" w:lineRule="auto"/>
                          <w:ind w:left="0" w:firstLine="0"/>
                          <w:jc w:val="left"/>
                        </w:pPr>
                        <w:r>
                          <w:rPr>
                            <w:rFonts w:cs="Times New Roman" w:hAnsi="Times New Roman" w:eastAsia="Times New Roman" w:ascii="Times New Roman"/>
                            <w:sz w:val="28"/>
                          </w:rPr>
                          <w:t xml:space="preserve">420</w:t>
                        </w:r>
                      </w:p>
                    </w:txbxContent>
                  </v:textbox>
                </v:rect>
              </v:group>
            </w:pict>
          </mc:Fallback>
        </mc:AlternateContent>
      </w:r>
    </w:p>
    <w:p w14:paraId="2C788CF7" w14:textId="77777777" w:rsidR="00E84FB4" w:rsidRDefault="00000000">
      <w:pPr>
        <w:spacing w:after="577"/>
        <w:ind w:left="0" w:firstLine="0"/>
        <w:jc w:val="left"/>
      </w:pPr>
      <w:r>
        <w:rPr>
          <w:rFonts w:ascii="Times New Roman" w:eastAsia="Times New Roman" w:hAnsi="Times New Roman" w:cs="Times New Roman"/>
          <w:sz w:val="26"/>
        </w:rPr>
        <w:t>RUMSEY GARDÄ</w:t>
      </w:r>
      <w:r>
        <w:rPr>
          <w:rFonts w:ascii="Times New Roman" w:eastAsia="Times New Roman" w:hAnsi="Times New Roman" w:cs="Times New Roman"/>
          <w:sz w:val="26"/>
          <w:vertAlign w:val="superscript"/>
        </w:rPr>
        <w:t xml:space="preserve">T </w:t>
      </w:r>
      <w:r>
        <w:rPr>
          <w:rFonts w:ascii="Times New Roman" w:eastAsia="Times New Roman" w:hAnsi="Times New Roman" w:cs="Times New Roman"/>
          <w:sz w:val="26"/>
        </w:rPr>
        <w:t>OWNERS, mc.,</w:t>
      </w:r>
    </w:p>
    <w:p w14:paraId="27C4A378" w14:textId="77777777" w:rsidR="00E84FB4" w:rsidRDefault="00000000">
      <w:pPr>
        <w:spacing w:after="661"/>
        <w:ind w:left="0" w:right="14" w:firstLine="0"/>
        <w:jc w:val="right"/>
      </w:pPr>
      <w:r>
        <w:rPr>
          <w:sz w:val="28"/>
        </w:rPr>
        <w:t>Lessor,</w:t>
      </w:r>
    </w:p>
    <w:p w14:paraId="3DBFEDDD" w14:textId="77777777" w:rsidR="00E84FB4" w:rsidRDefault="00000000">
      <w:pPr>
        <w:spacing w:after="179"/>
        <w:ind w:left="1916" w:firstLine="0"/>
        <w:jc w:val="left"/>
      </w:pPr>
      <w:r>
        <w:rPr>
          <w:rFonts w:ascii="Times New Roman" w:eastAsia="Times New Roman" w:hAnsi="Times New Roman" w:cs="Times New Roman"/>
          <w:sz w:val="28"/>
        </w:rPr>
        <w:t>TO</w:t>
      </w:r>
    </w:p>
    <w:p w14:paraId="071504C4" w14:textId="77777777" w:rsidR="00E84FB4" w:rsidRDefault="00000000">
      <w:pPr>
        <w:spacing w:after="221"/>
        <w:ind w:left="735" w:firstLine="0"/>
        <w:jc w:val="left"/>
      </w:pPr>
      <w:r>
        <w:rPr>
          <w:sz w:val="24"/>
        </w:rPr>
        <w:t>Maria Avgerakis</w:t>
      </w:r>
    </w:p>
    <w:p w14:paraId="4C647FA3" w14:textId="77777777" w:rsidR="00E84FB4" w:rsidRDefault="00000000">
      <w:pPr>
        <w:spacing w:after="845"/>
        <w:ind w:left="0" w:firstLine="0"/>
        <w:jc w:val="right"/>
      </w:pPr>
      <w:r>
        <w:rPr>
          <w:sz w:val="26"/>
        </w:rPr>
        <w:t>Lessee.</w:t>
      </w:r>
    </w:p>
    <w:p w14:paraId="46815F0A" w14:textId="77777777" w:rsidR="00E84FB4" w:rsidRDefault="00000000">
      <w:pPr>
        <w:spacing w:after="207"/>
        <w:ind w:left="504" w:firstLine="0"/>
        <w:jc w:val="left"/>
      </w:pPr>
      <w:r>
        <w:rPr>
          <w:noProof/>
          <w:sz w:val="22"/>
        </w:rPr>
        <mc:AlternateContent>
          <mc:Choice Requires="wpg">
            <w:drawing>
              <wp:inline distT="0" distB="0" distL="0" distR="0" wp14:anchorId="4589137F" wp14:editId="36BDD7D0">
                <wp:extent cx="2053547" cy="13719"/>
                <wp:effectExtent l="0" t="0" r="0" b="0"/>
                <wp:docPr id="19137" name="Group 19137"/>
                <wp:cNvGraphicFramePr/>
                <a:graphic xmlns:a="http://schemas.openxmlformats.org/drawingml/2006/main">
                  <a:graphicData uri="http://schemas.microsoft.com/office/word/2010/wordprocessingGroup">
                    <wpg:wgp>
                      <wpg:cNvGrpSpPr/>
                      <wpg:grpSpPr>
                        <a:xfrm>
                          <a:off x="0" y="0"/>
                          <a:ext cx="2053547" cy="13719"/>
                          <a:chOff x="0" y="0"/>
                          <a:chExt cx="2053547" cy="13719"/>
                        </a:xfrm>
                      </wpg:grpSpPr>
                      <wps:wsp>
                        <wps:cNvPr id="19136" name="Shape 19136"/>
                        <wps:cNvSpPr/>
                        <wps:spPr>
                          <a:xfrm>
                            <a:off x="0" y="0"/>
                            <a:ext cx="2053547" cy="13719"/>
                          </a:xfrm>
                          <a:custGeom>
                            <a:avLst/>
                            <a:gdLst/>
                            <a:ahLst/>
                            <a:cxnLst/>
                            <a:rect l="0" t="0" r="0" b="0"/>
                            <a:pathLst>
                              <a:path w="2053547" h="13719">
                                <a:moveTo>
                                  <a:pt x="0" y="6859"/>
                                </a:moveTo>
                                <a:lnTo>
                                  <a:pt x="2053547" y="6859"/>
                                </a:lnTo>
                              </a:path>
                            </a:pathLst>
                          </a:custGeom>
                          <a:ln w="13719"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19137" style="width:161.697pt;height:1.0802pt;mso-position-horizontal-relative:char;mso-position-vertical-relative:line" coordsize="20535,137">
                <v:shape id="Shape 19136" style="position:absolute;width:20535;height:137;left:0;top:0;" coordsize="2053547,13719" path="m0,6859l2053547,6859">
                  <v:stroke weight="1.0802pt" endcap="flat" joinstyle="miter" miterlimit="1" on="true" color="#000000"/>
                  <v:fill on="false" color="#000000"/>
                </v:shape>
              </v:group>
            </w:pict>
          </mc:Fallback>
        </mc:AlternateContent>
      </w:r>
    </w:p>
    <w:p w14:paraId="6C27DFC4" w14:textId="77777777" w:rsidR="00E84FB4" w:rsidRDefault="00000000">
      <w:pPr>
        <w:spacing w:after="0"/>
        <w:ind w:left="598" w:firstLine="0"/>
        <w:jc w:val="left"/>
      </w:pPr>
      <w:r>
        <w:rPr>
          <w:rFonts w:ascii="Times New Roman" w:eastAsia="Times New Roman" w:hAnsi="Times New Roman" w:cs="Times New Roman"/>
          <w:sz w:val="30"/>
        </w:rPr>
        <w:t>PROPRIETARY LEASE</w:t>
      </w:r>
    </w:p>
    <w:p w14:paraId="50C059F0" w14:textId="77777777" w:rsidR="00E84FB4" w:rsidRDefault="00000000">
      <w:pPr>
        <w:spacing w:after="0"/>
        <w:ind w:left="533" w:firstLine="0"/>
        <w:jc w:val="left"/>
      </w:pPr>
      <w:r>
        <w:rPr>
          <w:noProof/>
          <w:sz w:val="22"/>
        </w:rPr>
        <mc:AlternateContent>
          <mc:Choice Requires="wpg">
            <w:drawing>
              <wp:inline distT="0" distB="0" distL="0" distR="0" wp14:anchorId="2C0D16E3" wp14:editId="0D33D185">
                <wp:extent cx="2021532" cy="18292"/>
                <wp:effectExtent l="0" t="0" r="0" b="0"/>
                <wp:docPr id="19139" name="Group 19139"/>
                <wp:cNvGraphicFramePr/>
                <a:graphic xmlns:a="http://schemas.openxmlformats.org/drawingml/2006/main">
                  <a:graphicData uri="http://schemas.microsoft.com/office/word/2010/wordprocessingGroup">
                    <wpg:wgp>
                      <wpg:cNvGrpSpPr/>
                      <wpg:grpSpPr>
                        <a:xfrm>
                          <a:off x="0" y="0"/>
                          <a:ext cx="2021532" cy="18292"/>
                          <a:chOff x="0" y="0"/>
                          <a:chExt cx="2021532" cy="18292"/>
                        </a:xfrm>
                      </wpg:grpSpPr>
                      <wps:wsp>
                        <wps:cNvPr id="19138" name="Shape 19138"/>
                        <wps:cNvSpPr/>
                        <wps:spPr>
                          <a:xfrm>
                            <a:off x="0" y="0"/>
                            <a:ext cx="2021532" cy="18292"/>
                          </a:xfrm>
                          <a:custGeom>
                            <a:avLst/>
                            <a:gdLst/>
                            <a:ahLst/>
                            <a:cxnLst/>
                            <a:rect l="0" t="0" r="0" b="0"/>
                            <a:pathLst>
                              <a:path w="2021532" h="18292">
                                <a:moveTo>
                                  <a:pt x="0" y="9146"/>
                                </a:moveTo>
                                <a:lnTo>
                                  <a:pt x="2021532" y="9146"/>
                                </a:lnTo>
                              </a:path>
                            </a:pathLst>
                          </a:custGeom>
                          <a:ln w="182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19139" style="width:159.176pt;height:1.44028pt;mso-position-horizontal-relative:char;mso-position-vertical-relative:line" coordsize="20215,182">
                <v:shape id="Shape 19138" style="position:absolute;width:20215;height:182;left:0;top:0;" coordsize="2021532,18292" path="m0,9146l2021532,9146">
                  <v:stroke weight="1.44028pt" endcap="flat" joinstyle="miter" miterlimit="1" on="true" color="#000000"/>
                  <v:fill on="false" color="#000000"/>
                </v:shape>
              </v:group>
            </w:pict>
          </mc:Fallback>
        </mc:AlternateContent>
      </w:r>
    </w:p>
    <w:p w14:paraId="7E473037" w14:textId="77777777" w:rsidR="00E84FB4" w:rsidRDefault="00E84FB4">
      <w:pPr>
        <w:sectPr w:rsidR="00E84FB4">
          <w:pgSz w:w="9140" w:h="13020"/>
          <w:pgMar w:top="1440" w:right="1059" w:bottom="1440" w:left="2161" w:header="720" w:footer="720" w:gutter="0"/>
          <w:cols w:space="720"/>
        </w:sectPr>
      </w:pPr>
    </w:p>
    <w:p w14:paraId="0C119AA1" w14:textId="77777777" w:rsidR="00E84FB4" w:rsidRDefault="00000000">
      <w:pPr>
        <w:spacing w:after="333"/>
        <w:ind w:right="14" w:firstLine="0"/>
      </w:pPr>
      <w:r>
        <w:lastRenderedPageBreak/>
        <w:t>be required to surrender his shares to the Lessor, and all certificates for shares delivered to the Lessor by those who during that year, served notice of intention to cancel their leases under the provisions hereof, shall be returned to such lessees.</w:t>
      </w:r>
    </w:p>
    <w:p w14:paraId="1A65D4A7" w14:textId="77777777" w:rsidR="00E84FB4" w:rsidRDefault="00000000">
      <w:pPr>
        <w:spacing w:after="552" w:line="256" w:lineRule="auto"/>
        <w:ind w:left="504" w:right="14" w:firstLine="7"/>
      </w:pPr>
      <w:r>
        <w:rPr>
          <w:sz w:val="22"/>
        </w:rPr>
        <w:t xml:space="preserve">37. </w:t>
      </w:r>
      <w:r>
        <w:rPr>
          <w:sz w:val="22"/>
          <w:u w:val="single" w:color="000000"/>
        </w:rPr>
        <w:t>Continuance of Cooperative Man</w:t>
      </w:r>
      <w:r>
        <w:rPr>
          <w:sz w:val="22"/>
        </w:rPr>
        <w:t>ageme</w:t>
      </w:r>
      <w:r>
        <w:rPr>
          <w:sz w:val="22"/>
          <w:u w:val="single" w:color="000000"/>
        </w:rPr>
        <w:t>nt of Building After All leases Terminated</w:t>
      </w:r>
      <w:r>
        <w:rPr>
          <w:sz w:val="22"/>
        </w:rPr>
        <w:t xml:space="preserve"> No later than 30 days äfter the termination of all' propri— etazy leases for space in the Building, whether by expiration of their terms or otherwise, a special meeting of shareholders of the Lessor shall take place to determine whether (a) to continue to operate the Building as a residential apartment Building, (b) to alter, demlish or rebuild the Building or any part thereof, or (c) to sell the Building and liqui— date the assets of the Lessor, and the Directors shall carry out the detemination made by the holders of a majority of the shares of the Lessor then issued arß outstanding at said Iteeting of shareholders of the lessor, ard all of the holders of the then issued and outstanding shares of the Lessor shall have such rights as enure to shareholers of corporations having the title to real estate.</w:t>
      </w:r>
    </w:p>
    <w:p w14:paraId="4F9BCD0E" w14:textId="7EEAF978" w:rsidR="00E84FB4" w:rsidRPr="00AA6A53" w:rsidRDefault="00AA6A53">
      <w:pPr>
        <w:spacing w:after="211"/>
        <w:ind w:right="14" w:hanging="497"/>
        <w:rPr>
          <w:b/>
          <w:bCs/>
        </w:rPr>
      </w:pPr>
      <w:r>
        <w:rPr>
          <w:b/>
          <w:bCs/>
          <w:highlight w:val="yellow"/>
        </w:rPr>
        <w:t xml:space="preserve">    </w:t>
      </w:r>
      <w:r w:rsidR="00000000" w:rsidRPr="00AA6A53">
        <w:rPr>
          <w:b/>
          <w:bCs/>
          <w:highlight w:val="yellow"/>
        </w:rPr>
        <w:t xml:space="preserve">38. (a) </w:t>
      </w:r>
      <w:r w:rsidR="00000000" w:rsidRPr="00AA6A53">
        <w:rPr>
          <w:b/>
          <w:bCs/>
          <w:highlight w:val="yellow"/>
          <w:u w:val="single" w:color="000000"/>
        </w:rPr>
        <w:t>Unsold Shares</w:t>
      </w:r>
      <w:r w:rsidR="00000000" w:rsidRPr="00AA6A53">
        <w:rPr>
          <w:b/>
          <w:bCs/>
          <w:highlight w:val="yellow"/>
        </w:rPr>
        <w:t xml:space="preserve"> The te</w:t>
      </w:r>
      <w:r>
        <w:rPr>
          <w:b/>
          <w:bCs/>
          <w:highlight w:val="yellow"/>
        </w:rPr>
        <w:t>rm</w:t>
      </w:r>
      <w:r w:rsidR="00000000" w:rsidRPr="00AA6A53">
        <w:rPr>
          <w:b/>
          <w:bCs/>
          <w:highlight w:val="yellow"/>
        </w:rPr>
        <w:t xml:space="preserve"> "Unsold Shares" means and refers to shares of the Lessor which have been issued or transferred either to the Sponsor or i</w:t>
      </w:r>
      <w:r>
        <w:rPr>
          <w:b/>
          <w:bCs/>
          <w:highlight w:val="yellow"/>
        </w:rPr>
        <w:t>nd</w:t>
      </w:r>
      <w:r w:rsidR="00000000" w:rsidRPr="00AA6A53">
        <w:rPr>
          <w:b/>
          <w:bCs/>
          <w:highlight w:val="yellow"/>
        </w:rPr>
        <w:t>ividual designee(s) of the Sponsor pursuant to the Plan of cooperative organization of Lessor and all shares which are Unsold Shares retain their character as such (regardless of transfer) until an individual purchases s</w:t>
      </w:r>
      <w:r>
        <w:rPr>
          <w:b/>
          <w:bCs/>
          <w:highlight w:val="yellow"/>
        </w:rPr>
        <w:t>am</w:t>
      </w:r>
      <w:r w:rsidR="00000000" w:rsidRPr="00AA6A53">
        <w:rPr>
          <w:b/>
          <w:bCs/>
          <w:highlight w:val="yellow"/>
        </w:rPr>
        <w:t xml:space="preserve">e actually occupies (by hinuself or a person related to him by blood or </w:t>
      </w:r>
      <w:r>
        <w:rPr>
          <w:b/>
          <w:bCs/>
          <w:highlight w:val="yellow"/>
        </w:rPr>
        <w:t>ma</w:t>
      </w:r>
      <w:r w:rsidR="00000000" w:rsidRPr="00AA6A53">
        <w:rPr>
          <w:b/>
          <w:bCs/>
          <w:highlight w:val="yellow"/>
        </w:rPr>
        <w:t xml:space="preserve">rriage) the </w:t>
      </w:r>
      <w:proofErr w:type="spellStart"/>
      <w:r w:rsidR="00000000" w:rsidRPr="00AA6A53">
        <w:rPr>
          <w:b/>
          <w:bCs/>
          <w:highlight w:val="yellow"/>
        </w:rPr>
        <w:t>apartrnent</w:t>
      </w:r>
      <w:proofErr w:type="spellEnd"/>
      <w:r w:rsidR="00000000" w:rsidRPr="00AA6A53">
        <w:rPr>
          <w:b/>
          <w:bCs/>
          <w:highlight w:val="yellow"/>
        </w:rPr>
        <w:t xml:space="preserve"> to which shares are allocated. Holders of unsöld shares may not cancel their proprietary leases unless (i) share—holders owning a majority of the apart</w:t>
      </w:r>
      <w:r>
        <w:rPr>
          <w:b/>
          <w:bCs/>
          <w:highlight w:val="yellow"/>
        </w:rPr>
        <w:t>m</w:t>
      </w:r>
      <w:r w:rsidR="00000000" w:rsidRPr="00AA6A53">
        <w:rPr>
          <w:b/>
          <w:bCs/>
          <w:highlight w:val="yellow"/>
        </w:rPr>
        <w:t>ent corporation's outstanding shares (other than unsold shares) shall have given notice of intent to cancel or (ii) all unsold shares constitute</w:t>
      </w:r>
      <w:r>
        <w:rPr>
          <w:b/>
          <w:bCs/>
          <w:highlight w:val="yellow"/>
        </w:rPr>
        <w:t xml:space="preserve"> </w:t>
      </w:r>
      <w:r w:rsidR="00000000" w:rsidRPr="00AA6A53">
        <w:rPr>
          <w:b/>
          <w:bCs/>
          <w:highlight w:val="yellow"/>
        </w:rPr>
        <w:t>fifteen</w:t>
      </w:r>
      <w:r>
        <w:rPr>
          <w:b/>
          <w:bCs/>
          <w:highlight w:val="yellow"/>
        </w:rPr>
        <w:t xml:space="preserve"> </w:t>
      </w:r>
      <w:r w:rsidR="00000000" w:rsidRPr="00AA6A53">
        <w:rPr>
          <w:b/>
          <w:bCs/>
          <w:highlight w:val="yellow"/>
        </w:rPr>
        <w:t>(15%) percent or less of the apartment corporation's outstarding shares, at least five (5) years have elapsed since the apartment corporation acquired title to the building and, on the effective date of cancellation, holders of unsold shares shall pay to the apart</w:t>
      </w:r>
      <w:r>
        <w:rPr>
          <w:b/>
          <w:bCs/>
          <w:highlight w:val="yellow"/>
        </w:rPr>
        <w:t>m</w:t>
      </w:r>
      <w:r w:rsidR="00000000" w:rsidRPr="00AA6A53">
        <w:rPr>
          <w:b/>
          <w:bCs/>
          <w:highlight w:val="yellow"/>
        </w:rPr>
        <w:t>ent corporation a s</w:t>
      </w:r>
      <w:r>
        <w:rPr>
          <w:b/>
          <w:bCs/>
          <w:highlight w:val="yellow"/>
        </w:rPr>
        <w:t>u</w:t>
      </w:r>
      <w:r w:rsidR="00000000" w:rsidRPr="00AA6A53">
        <w:rPr>
          <w:b/>
          <w:bCs/>
          <w:highlight w:val="yellow"/>
        </w:rPr>
        <w:t>m equal to the product of the then current mnthly maintenance chargés payable under the proprietary lease multiplied by twenty—four.</w:t>
      </w:r>
    </w:p>
    <w:p w14:paraId="27166961" w14:textId="77777777" w:rsidR="00E84FB4" w:rsidRDefault="00000000">
      <w:pPr>
        <w:numPr>
          <w:ilvl w:val="0"/>
          <w:numId w:val="1"/>
        </w:numPr>
        <w:ind w:right="14" w:firstLine="659"/>
      </w:pPr>
      <w:r>
        <w:rPr>
          <w:u w:val="single" w:color="000000"/>
        </w:rPr>
        <w:t>Sublettinq Apartment and Sale of Shares</w:t>
      </w:r>
      <w:r>
        <w:t xml:space="preserve"> Neither the subletting of the apartr1Ent from tfrne to time nor the sale ot assignment of this lease or any shares of the Lessor by the holder of Unsold Shares allocated to the apartment shall require the consent of the Lessor, Directors, shareholders or any other person or entity. At the request of the holder of Unsold Shares, </w:t>
      </w:r>
      <w:r>
        <w:lastRenderedPageBreak/>
        <w:t xml:space="preserve">the Lessor shall cnnsent in writing to any such subletting, sale or assignment and shall execute a recognition </w:t>
      </w:r>
      <w:r>
        <w:rPr>
          <w:noProof/>
        </w:rPr>
        <w:drawing>
          <wp:inline distT="0" distB="0" distL="0" distR="0" wp14:anchorId="17F980A2" wp14:editId="59C88BDC">
            <wp:extent cx="662988" cy="118935"/>
            <wp:effectExtent l="0" t="0" r="0" b="0"/>
            <wp:docPr id="3578" name="Picture 3578"/>
            <wp:cNvGraphicFramePr/>
            <a:graphic xmlns:a="http://schemas.openxmlformats.org/drawingml/2006/main">
              <a:graphicData uri="http://schemas.openxmlformats.org/drawingml/2006/picture">
                <pic:pic xmlns:pic="http://schemas.openxmlformats.org/drawingml/2006/picture">
                  <pic:nvPicPr>
                    <pic:cNvPr id="3578" name="Picture 3578"/>
                    <pic:cNvPicPr/>
                  </pic:nvPicPr>
                  <pic:blipFill>
                    <a:blip r:embed="rId8"/>
                    <a:stretch>
                      <a:fillRect/>
                    </a:stretch>
                  </pic:blipFill>
                  <pic:spPr>
                    <a:xfrm>
                      <a:off x="0" y="0"/>
                      <a:ext cx="662988" cy="118935"/>
                    </a:xfrm>
                    <a:prstGeom prst="rect">
                      <a:avLst/>
                    </a:prstGeom>
                  </pic:spPr>
                </pic:pic>
              </a:graphicData>
            </a:graphic>
          </wp:inline>
        </w:drawing>
      </w:r>
      <w:r>
        <w:t xml:space="preserve"> in connection there— with, but such consent shall not be required in order for any such su.b•:• letting, sale or assigment to be effective.</w:t>
      </w:r>
    </w:p>
    <w:p w14:paraId="21D5792B" w14:textId="77777777" w:rsidR="00E84FB4" w:rsidRDefault="00000000">
      <w:pPr>
        <w:numPr>
          <w:ilvl w:val="0"/>
          <w:numId w:val="1"/>
        </w:numPr>
        <w:ind w:right="14" w:firstLine="659"/>
      </w:pPr>
      <w:r>
        <w:t>Change i</w:t>
      </w:r>
      <w:r>
        <w:rPr>
          <w:u w:val="single" w:color="000000"/>
        </w:rPr>
        <w:t>n F«mn of Eæase</w:t>
      </w:r>
      <w:r>
        <w:t xml:space="preserve"> Without the Lessee's consent, ro change in the form; • terms or conditions of this lease, as pemitted by Paragraph 6, shall (1) affect the rights of the holder of Unsold Shares allocated to the apartment leased hereby to sublet the apartrnent or to assign this lease, as hereinbefore provided in this Paragraph 38, or (2) eliminate or modify any other rights, privileges or obligations of such holder of Unsold Shares.</w:t>
      </w:r>
    </w:p>
    <w:p w14:paraId="159632AD" w14:textId="77777777" w:rsidR="00E84FB4" w:rsidRDefault="00000000">
      <w:pPr>
        <w:spacing w:after="0"/>
        <w:ind w:left="432" w:firstLine="0"/>
        <w:jc w:val="center"/>
      </w:pPr>
      <w:r>
        <w:rPr>
          <w:sz w:val="22"/>
        </w:rPr>
        <w:t>P—22</w:t>
      </w:r>
    </w:p>
    <w:p w14:paraId="3E22D856" w14:textId="77777777" w:rsidR="00E84FB4" w:rsidRDefault="00E84FB4">
      <w:pPr>
        <w:sectPr w:rsidR="00E84FB4">
          <w:pgSz w:w="11060" w:h="13680"/>
          <w:pgMar w:top="1440" w:right="36" w:bottom="1440" w:left="1354" w:header="720" w:footer="720" w:gutter="0"/>
          <w:cols w:space="720"/>
        </w:sectPr>
      </w:pPr>
    </w:p>
    <w:p w14:paraId="59D22BA4" w14:textId="77777777" w:rsidR="00E84FB4" w:rsidRDefault="00000000">
      <w:pPr>
        <w:spacing w:after="514"/>
        <w:ind w:left="281" w:firstLine="0"/>
        <w:jc w:val="center"/>
      </w:pPr>
      <w:r>
        <w:rPr>
          <w:sz w:val="16"/>
        </w:rPr>
        <w:lastRenderedPageBreak/>
        <w:t>BY-I.*Aß</w:t>
      </w:r>
    </w:p>
    <w:p w14:paraId="6EE10898" w14:textId="74C93873" w:rsidR="00E84FB4" w:rsidRDefault="00AA6A53">
      <w:pPr>
        <w:spacing w:after="212" w:line="265" w:lineRule="auto"/>
        <w:ind w:left="255" w:right="122" w:hanging="10"/>
        <w:jc w:val="center"/>
      </w:pPr>
      <w:r>
        <w:rPr>
          <w:noProof/>
        </w:rPr>
        <w:t xml:space="preserve">RUMSEY </w:t>
      </w:r>
      <w:r w:rsidR="00000000">
        <w:t>GARDEN OWNERS, INC.</w:t>
      </w:r>
    </w:p>
    <w:p w14:paraId="4A139D23" w14:textId="77777777" w:rsidR="00E84FB4" w:rsidRDefault="00000000">
      <w:pPr>
        <w:spacing w:after="3" w:line="265" w:lineRule="auto"/>
        <w:ind w:left="255" w:right="7" w:hanging="10"/>
        <w:jc w:val="center"/>
      </w:pPr>
      <w:r>
        <w:t>ARTICLE 1</w:t>
      </w:r>
    </w:p>
    <w:p w14:paraId="6D803389" w14:textId="77777777" w:rsidR="00E84FB4" w:rsidRDefault="00000000">
      <w:pPr>
        <w:spacing w:after="584" w:line="265" w:lineRule="auto"/>
        <w:ind w:left="255" w:hanging="10"/>
        <w:jc w:val="center"/>
      </w:pPr>
      <w:r>
        <w:t>Purpose and Place of Business</w:t>
      </w:r>
    </w:p>
    <w:p w14:paraId="6A45F738" w14:textId="0407403E" w:rsidR="00E84FB4" w:rsidRDefault="00000000">
      <w:pPr>
        <w:ind w:left="14" w:right="14"/>
      </w:pPr>
      <w:r>
        <w:t xml:space="preserve">Section 1. </w:t>
      </w:r>
      <w:proofErr w:type="gramStart"/>
      <w:r>
        <w:t>Purpose :</w:t>
      </w:r>
      <w:proofErr w:type="gramEnd"/>
      <w:r>
        <w:t xml:space="preserve"> The primary purpose of the corporation is to provide residences to shareholders who shall be entitled, solely by reason of their </w:t>
      </w:r>
      <w:r w:rsidR="00AA6A53">
        <w:rPr>
          <w:noProof/>
        </w:rPr>
        <w:t>ownership</w:t>
      </w:r>
      <w:r>
        <w:t xml:space="preserve"> of shares, to proprietary leases for aparments in the building owned by the corporation.</w:t>
      </w:r>
    </w:p>
    <w:p w14:paraId="192A0147" w14:textId="77777777" w:rsidR="00E84FB4" w:rsidRDefault="00000000">
      <w:pPr>
        <w:ind w:left="14" w:right="14"/>
      </w:pPr>
      <w:r>
        <w:t>Section 2. Lacation of Office: The principal office and place of business of the corporation shall be in the County of New York, City of New York, or at such other place as may be designated by the Board of Directors.</w:t>
      </w:r>
    </w:p>
    <w:p w14:paraId="7B7FC3C7" w14:textId="77777777" w:rsidR="00E84FB4" w:rsidRDefault="00000000">
      <w:pPr>
        <w:spacing w:after="3" w:line="265" w:lineRule="auto"/>
        <w:ind w:left="255" w:right="137" w:hanging="10"/>
        <w:jc w:val="center"/>
      </w:pPr>
      <w:r>
        <w:t>ARTICLE 11</w:t>
      </w:r>
    </w:p>
    <w:p w14:paraId="6F8691F7" w14:textId="77777777" w:rsidR="00E84FB4" w:rsidRDefault="00000000">
      <w:pPr>
        <w:spacing w:after="213" w:line="265" w:lineRule="auto"/>
        <w:ind w:left="255" w:right="130" w:hanging="10"/>
        <w:jc w:val="center"/>
      </w:pPr>
      <w:r>
        <w:t>Meetings of Shareholders</w:t>
      </w:r>
    </w:p>
    <w:p w14:paraId="189AA77F" w14:textId="77777777" w:rsidR="00E84FB4" w:rsidRDefault="00000000">
      <w:pPr>
        <w:ind w:left="14" w:right="14"/>
      </w:pPr>
      <w:r>
        <w:t xml:space="preserve">Section l. Annual Meeting: 'Ihe first annual npetiræ of the shareholders of this corporation, for the election of directors and such other business as may properly come before such meetiæ, shall be held within 30 days after the closing utrler the Offerirg Plan: 18.1—189 and 2.13—221 Rumsey Road, 82—106 Spruce Street r Yonkers, New York and subsequent annual meetings shall be held in May of each year, commencing with the year following the year in which the annual meeting is held. Such meetirgs shall be at a place in the County of New York, City of New York, and at a date and time, as shall be determined by the Board of Directors. Written notice of each meetiæ shall be signed by the president, a vice—president, the secretary or an assistant secretary and given to all shareholders entitled to vote thereat at the time such notice is given or on the record date designated by the Board of Directors in accordance wåt:h Sect ion 5 of thig Article Il. Such notice shall state the date and tüne when, and the place where the meeting is to be held, ard shall set forth any proposed action, notice of which is specifically required elsewhere in these by»-laws; and the secretary shall cause a copy thereof to be del iveted, or personally or mailed to each such </w:t>
      </w:r>
      <w:r>
        <w:lastRenderedPageBreak/>
        <w:t>shareholder, not less than ten nor more than fifty days before the meeting,</w:t>
      </w:r>
    </w:p>
    <w:p w14:paraId="001862DF" w14:textId="77777777" w:rsidR="00E84FB4" w:rsidRDefault="00000000">
      <w:pPr>
        <w:ind w:left="14" w:right="14"/>
      </w:pPr>
      <w:r>
        <w:t>Section 2. Special Meetings: Special meetings of shareholders may be called at any tine and may be held at any place where an annual meeting could be held, by the president and secretary or by a IEjority of the Board of Directors. It shall also be the duty of the secretary to call such meet ings whenever requested in writing to do so by' shareholders owni.ng at least 25* of the outstanding shares of the corporation. tllhe secretary shall cause a notice of such special meeting stating the date and tixne when, the place where, the purpose or purposes thereof, and the officer or other person or persons whom the meeting is called, to be delivered to each shau-eholder entitled to vote at such meeting not less than ten nor rtu:e than fifty days befote such meeting. No business other than that stated in such notice shall be transacted at such special meet—</w:t>
      </w:r>
    </w:p>
    <w:p w14:paraId="4295AD2C" w14:textId="77777777" w:rsidR="00E84FB4" w:rsidRDefault="00000000">
      <w:pPr>
        <w:spacing w:after="3" w:line="265" w:lineRule="auto"/>
        <w:ind w:left="255" w:right="382" w:hanging="10"/>
        <w:jc w:val="center"/>
      </w:pPr>
      <w:r>
        <w:t>BL-I</w:t>
      </w:r>
    </w:p>
    <w:p w14:paraId="771195CD" w14:textId="77777777" w:rsidR="00E84FB4" w:rsidRDefault="00E84FB4"/>
    <w:p w14:paraId="3151482B" w14:textId="77777777" w:rsidR="00E84FB4" w:rsidRDefault="00000000">
      <w:pPr>
        <w:spacing w:after="99"/>
        <w:ind w:left="158" w:right="14"/>
      </w:pPr>
      <w:r>
        <w:t xml:space="preserve">Section 5B Lost Proprietary Leases: </w:t>
      </w:r>
      <w:proofErr w:type="gramStart"/>
      <w:r>
        <w:t>In the event that</w:t>
      </w:r>
      <w:proofErr w:type="gramEnd"/>
      <w:r>
        <w:t xml:space="preserve"> any proprietary lease in full force and effect is lost, stolen, destroyed or mutilated, the Board of Directors may authorize the issuance of a new proprietary lease in</w:t>
      </w:r>
    </w:p>
    <w:p w14:paraId="164A57E4" w14:textId="77777777" w:rsidR="00E84FB4" w:rsidRDefault="00000000">
      <w:pPr>
        <w:spacing w:after="294"/>
        <w:ind w:left="115" w:right="14" w:firstLine="50"/>
      </w:pPr>
      <w:r>
        <w:t xml:space="preserve">lieu in the same form and with the same terms, provisions, eon— ditions arß limitations. The may, in its discretion, before the issuance of any such new proprietary lease, requite the owner thereof, or the legal representative of the owner, to make an affidavit or affirmation getting forth such facts as to the loss, destruction or mutilation as it deems necessary, and to give the orporation a bond in such reasonable </w:t>
      </w:r>
      <w:r>
        <w:rPr>
          <w:noProof/>
        </w:rPr>
        <w:drawing>
          <wp:inline distT="0" distB="0" distL="0" distR="0" wp14:anchorId="4AA276EB" wp14:editId="55B8EE9C">
            <wp:extent cx="205759" cy="77748"/>
            <wp:effectExtent l="0" t="0" r="0" b="0"/>
            <wp:docPr id="19145" name="Picture 19145"/>
            <wp:cNvGraphicFramePr/>
            <a:graphic xmlns:a="http://schemas.openxmlformats.org/drawingml/2006/main">
              <a:graphicData uri="http://schemas.openxmlformats.org/drawingml/2006/picture">
                <pic:pic xmlns:pic="http://schemas.openxmlformats.org/drawingml/2006/picture">
                  <pic:nvPicPr>
                    <pic:cNvPr id="19145" name="Picture 19145"/>
                    <pic:cNvPicPr/>
                  </pic:nvPicPr>
                  <pic:blipFill>
                    <a:blip r:embed="rId9"/>
                    <a:stretch>
                      <a:fillRect/>
                    </a:stretch>
                  </pic:blipFill>
                  <pic:spPr>
                    <a:xfrm>
                      <a:off x="0" y="0"/>
                      <a:ext cx="205759" cy="77748"/>
                    </a:xfrm>
                    <a:prstGeom prst="rect">
                      <a:avLst/>
                    </a:prstGeom>
                  </pic:spPr>
                </pic:pic>
              </a:graphicData>
            </a:graphic>
          </wp:inline>
        </w:drawing>
      </w:r>
      <w:r>
        <w:t>as it directsr not exceeding double the value of the shares appurtenant to such leaser to indannify the corporationg</w:t>
      </w:r>
    </w:p>
    <w:p w14:paraId="3D1A8E22" w14:textId="77777777" w:rsidR="00E84FB4" w:rsidRDefault="00000000">
      <w:pPr>
        <w:spacing w:after="288"/>
        <w:ind w:left="86" w:right="14"/>
      </w:pPr>
      <w:r>
        <w:t xml:space="preserve">Section 6. Regrouping the Space: fre Board of Directors, upon the written request of the owner or owners of the shares appurtenant to one or </w:t>
      </w:r>
      <w:r>
        <w:rPr>
          <w:noProof/>
        </w:rPr>
        <w:drawing>
          <wp:inline distT="0" distB="0" distL="0" distR="0" wp14:anchorId="32A6BD53" wp14:editId="41B9ED26">
            <wp:extent cx="283490" cy="86895"/>
            <wp:effectExtent l="0" t="0" r="0" b="0"/>
            <wp:docPr id="19147" name="Picture 19147"/>
            <wp:cNvGraphicFramePr/>
            <a:graphic xmlns:a="http://schemas.openxmlformats.org/drawingml/2006/main">
              <a:graphicData uri="http://schemas.openxmlformats.org/drawingml/2006/picture">
                <pic:pic xmlns:pic="http://schemas.openxmlformats.org/drawingml/2006/picture">
                  <pic:nvPicPr>
                    <pic:cNvPr id="19147" name="Picture 19147"/>
                    <pic:cNvPicPr/>
                  </pic:nvPicPr>
                  <pic:blipFill>
                    <a:blip r:embed="rId10"/>
                    <a:stretch>
                      <a:fillRect/>
                    </a:stretch>
                  </pic:blipFill>
                  <pic:spPr>
                    <a:xfrm>
                      <a:off x="0" y="0"/>
                      <a:ext cx="283490" cy="86895"/>
                    </a:xfrm>
                    <a:prstGeom prst="rect">
                      <a:avLst/>
                    </a:prstGeom>
                  </pic:spPr>
                </pic:pic>
              </a:graphicData>
            </a:graphic>
          </wp:inline>
        </w:drawing>
      </w:r>
      <w:r>
        <w:t>proprietary leases covering one or more apartments in the apartauent building may, in its discretion, at any timet permit such owner or owners, at his or their own expense, as determined or approved by the Board of Directors:</w:t>
      </w:r>
    </w:p>
    <w:p w14:paraId="3ECB930E" w14:textId="77777777" w:rsidR="00E84FB4" w:rsidRDefault="00000000">
      <w:pPr>
        <w:numPr>
          <w:ilvl w:val="0"/>
          <w:numId w:val="2"/>
        </w:numPr>
        <w:spacing w:after="277"/>
        <w:ind w:right="47" w:firstLine="608"/>
      </w:pPr>
      <w:r>
        <w:rPr>
          <w:noProof/>
        </w:rPr>
        <w:lastRenderedPageBreak/>
        <w:drawing>
          <wp:anchor distT="0" distB="0" distL="114300" distR="114300" simplePos="0" relativeHeight="251658240" behindDoc="0" locked="0" layoutInCell="1" allowOverlap="0" wp14:anchorId="14CB9609" wp14:editId="614798D5">
            <wp:simplePos x="0" y="0"/>
            <wp:positionH relativeFrom="page">
              <wp:posOffset>502966</wp:posOffset>
            </wp:positionH>
            <wp:positionV relativeFrom="page">
              <wp:posOffset>493930</wp:posOffset>
            </wp:positionV>
            <wp:extent cx="539546" cy="123483"/>
            <wp:effectExtent l="0" t="0" r="0" b="0"/>
            <wp:wrapSquare wrapText="bothSides"/>
            <wp:docPr id="10342" name="Picture 10342"/>
            <wp:cNvGraphicFramePr/>
            <a:graphic xmlns:a="http://schemas.openxmlformats.org/drawingml/2006/main">
              <a:graphicData uri="http://schemas.openxmlformats.org/drawingml/2006/picture">
                <pic:pic xmlns:pic="http://schemas.openxmlformats.org/drawingml/2006/picture">
                  <pic:nvPicPr>
                    <pic:cNvPr id="10342" name="Picture 10342"/>
                    <pic:cNvPicPr/>
                  </pic:nvPicPr>
                  <pic:blipFill>
                    <a:blip r:embed="rId11"/>
                    <a:stretch>
                      <a:fillRect/>
                    </a:stretch>
                  </pic:blipFill>
                  <pic:spPr>
                    <a:xfrm>
                      <a:off x="0" y="0"/>
                      <a:ext cx="539546" cy="123483"/>
                    </a:xfrm>
                    <a:prstGeom prst="rect">
                      <a:avLst/>
                    </a:prstGeom>
                  </pic:spPr>
                </pic:pic>
              </a:graphicData>
            </a:graphic>
          </wp:anchor>
        </w:drawing>
      </w:r>
      <w:r>
        <w:t>( i) to subdivide any apartment into any desired number of apartments, (i i) canbine all or any portions of any such apartments into one or any desired nt.gnber of apartments f and (iii) to reel locate the shares issued to accaupany the proprietary lease or leases, but, subject to gubsection (b) of this Section, the total number of the shares so reallocated shall not be more or less than the nuntber of shares previously allocated to the apartment or apartments involved; or</w:t>
      </w:r>
    </w:p>
    <w:p w14:paraId="22D55EB9" w14:textId="77777777" w:rsidR="00E84FB4" w:rsidRDefault="00000000">
      <w:pPr>
        <w:numPr>
          <w:ilvl w:val="0"/>
          <w:numId w:val="2"/>
        </w:numPr>
        <w:ind w:right="47" w:firstLine="608"/>
      </w:pPr>
      <w:r>
        <w:t xml:space="preserve">to incorporate one or more servant </w:t>
      </w:r>
      <w:r>
        <w:rPr>
          <w:vertAlign w:val="superscript"/>
        </w:rPr>
        <w:t xml:space="preserve">E </w:t>
      </w:r>
      <w:r>
        <w:t>s rooms or other space in the building not covered by any proprietary lease* into one or nnre aparbnents covered by a proprietary lease, whether in connection with any regrouping of space pursuant to subsection (a) of this Section or otherwise, arE in allocating shares to any such resulting apartment or apartments r shall determine the nwnber of theretofore unissued shares to be issued and allocated in connection with the appropriation of such additional space, in accordance with the principle set forth in Section 3 of this Article V.</w:t>
      </w:r>
    </w:p>
    <w:p w14:paraId="6E9FA27D" w14:textId="69604F0E" w:rsidR="00E84FB4" w:rsidRDefault="00000000">
      <w:pPr>
        <w:spacing w:after="266"/>
        <w:ind w:left="14" w:right="94"/>
      </w:pPr>
      <w:r>
        <w:t xml:space="preserve">Upon any </w:t>
      </w:r>
      <w:proofErr w:type="spellStart"/>
      <w:r w:rsidR="00AA6A53">
        <w:t>r</w:t>
      </w:r>
      <w:r>
        <w:t>egroupirg</w:t>
      </w:r>
      <w:proofErr w:type="spellEnd"/>
      <w:r>
        <w:t xml:space="preserve"> pursuant to subsections (a) or (b) above, the proprietary leases so affected, and the accompanying certificates of shares, shall be surrendered and there shall be executed and delivered in place thereof f respectively, a new proprietary lease for each separate apartment involved, and a new certificate of shares for the number of shares so reallocated to each new proprietary lease,</w:t>
      </w:r>
    </w:p>
    <w:p w14:paraId="7D2999F4" w14:textId="5049AF9F" w:rsidR="00E84FB4" w:rsidRPr="00AA6A53" w:rsidRDefault="00AA6A53">
      <w:pPr>
        <w:ind w:left="14" w:right="108" w:firstLine="684"/>
        <w:rPr>
          <w:b/>
          <w:bCs/>
        </w:rPr>
      </w:pPr>
      <w:r w:rsidRPr="00AA6A53">
        <w:rPr>
          <w:b/>
          <w:bCs/>
          <w:highlight w:val="yellow"/>
        </w:rPr>
        <w:t>Th</w:t>
      </w:r>
      <w:r w:rsidR="00000000" w:rsidRPr="00AA6A53">
        <w:rPr>
          <w:b/>
          <w:bCs/>
          <w:highlight w:val="yellow"/>
        </w:rPr>
        <w:t>e holders of Unsold Shares,</w:t>
      </w:r>
      <w:r w:rsidRPr="00AA6A53">
        <w:rPr>
          <w:b/>
          <w:bCs/>
          <w:highlight w:val="yellow"/>
        </w:rPr>
        <w:t xml:space="preserve"> </w:t>
      </w:r>
      <w:r w:rsidR="00000000" w:rsidRPr="00AA6A53">
        <w:rPr>
          <w:b/>
          <w:bCs/>
          <w:highlight w:val="yellow"/>
        </w:rPr>
        <w:t>h</w:t>
      </w:r>
      <w:r w:rsidRPr="00AA6A53">
        <w:rPr>
          <w:b/>
          <w:bCs/>
          <w:highlight w:val="yellow"/>
        </w:rPr>
        <w:t>owe</w:t>
      </w:r>
      <w:r w:rsidR="00000000" w:rsidRPr="00AA6A53">
        <w:rPr>
          <w:b/>
          <w:bCs/>
          <w:highlight w:val="yellow"/>
        </w:rPr>
        <w:t xml:space="preserve">ver, shall have the absolute right, without paynent of any fee or charge, to </w:t>
      </w:r>
      <w:r w:rsidRPr="00AA6A53">
        <w:rPr>
          <w:b/>
          <w:bCs/>
          <w:highlight w:val="yellow"/>
        </w:rPr>
        <w:t xml:space="preserve">change </w:t>
      </w:r>
      <w:r w:rsidR="00000000" w:rsidRPr="00AA6A53">
        <w:rPr>
          <w:b/>
          <w:bCs/>
          <w:highlight w:val="yellow"/>
        </w:rPr>
        <w:t>the size and layout of any apartment including the right to eubdivide any apartment owned by any of them into two or more apartments, or to cunbine all or any portion of such apartments into any desired number of apartments, provided such alterations do not unreasonably encroach on public areas c</w:t>
      </w:r>
      <w:r w:rsidRPr="00AA6A53">
        <w:rPr>
          <w:b/>
          <w:bCs/>
          <w:highlight w:val="yellow"/>
        </w:rPr>
        <w:t>om</w:t>
      </w:r>
      <w:r w:rsidR="00000000" w:rsidRPr="00AA6A53">
        <w:rPr>
          <w:b/>
          <w:bCs/>
          <w:highlight w:val="yellow"/>
        </w:rPr>
        <w:t>monly used as such.</w:t>
      </w:r>
    </w:p>
    <w:p w14:paraId="1A41725C" w14:textId="3030748E" w:rsidR="00AA6A53" w:rsidRDefault="00AA6A53">
      <w:pPr>
        <w:ind w:left="14" w:right="108" w:firstLine="684"/>
      </w:pPr>
      <w:r>
        <w:tab/>
      </w:r>
      <w:r>
        <w:tab/>
      </w:r>
      <w:r>
        <w:tab/>
      </w:r>
      <w:r>
        <w:tab/>
      </w:r>
      <w:r>
        <w:tab/>
        <w:t>BL - 11</w:t>
      </w:r>
    </w:p>
    <w:sectPr w:rsidR="00AA6A53">
      <w:pgSz w:w="8720" w:h="12820"/>
      <w:pgMar w:top="1440" w:right="58" w:bottom="1440" w:left="3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A1E0C"/>
    <w:multiLevelType w:val="hybridMultilevel"/>
    <w:tmpl w:val="EEC8ECE0"/>
    <w:lvl w:ilvl="0" w:tplc="D7627898">
      <w:start w:val="2"/>
      <w:numFmt w:val="lowerLetter"/>
      <w:lvlText w:val="(%1)"/>
      <w:lvlJc w:val="left"/>
      <w:pPr>
        <w:ind w:left="50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CD0AB3E0">
      <w:start w:val="1"/>
      <w:numFmt w:val="lowerLetter"/>
      <w:lvlText w:val="%2"/>
      <w:lvlJc w:val="left"/>
      <w:pPr>
        <w:ind w:left="224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D52587E">
      <w:start w:val="1"/>
      <w:numFmt w:val="lowerRoman"/>
      <w:lvlText w:val="%3"/>
      <w:lvlJc w:val="left"/>
      <w:pPr>
        <w:ind w:left="296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912BE32">
      <w:start w:val="1"/>
      <w:numFmt w:val="decimal"/>
      <w:lvlText w:val="%4"/>
      <w:lvlJc w:val="left"/>
      <w:pPr>
        <w:ind w:left="368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D26AC68">
      <w:start w:val="1"/>
      <w:numFmt w:val="lowerLetter"/>
      <w:lvlText w:val="%5"/>
      <w:lvlJc w:val="left"/>
      <w:pPr>
        <w:ind w:left="440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2BE9F8C">
      <w:start w:val="1"/>
      <w:numFmt w:val="lowerRoman"/>
      <w:lvlText w:val="%6"/>
      <w:lvlJc w:val="left"/>
      <w:pPr>
        <w:ind w:left="512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3C922D5C">
      <w:start w:val="1"/>
      <w:numFmt w:val="decimal"/>
      <w:lvlText w:val="%7"/>
      <w:lvlJc w:val="left"/>
      <w:pPr>
        <w:ind w:left="584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6EFC1814">
      <w:start w:val="1"/>
      <w:numFmt w:val="lowerLetter"/>
      <w:lvlText w:val="%8"/>
      <w:lvlJc w:val="left"/>
      <w:pPr>
        <w:ind w:left="656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3788E292">
      <w:start w:val="1"/>
      <w:numFmt w:val="lowerRoman"/>
      <w:lvlText w:val="%9"/>
      <w:lvlJc w:val="left"/>
      <w:pPr>
        <w:ind w:left="728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86E736E"/>
    <w:multiLevelType w:val="hybridMultilevel"/>
    <w:tmpl w:val="3E362A24"/>
    <w:lvl w:ilvl="0" w:tplc="FE661DCA">
      <w:start w:val="1"/>
      <w:numFmt w:val="lowerLetter"/>
      <w:lvlText w:val="(%1)"/>
      <w:lvlJc w:val="left"/>
      <w:pPr>
        <w:ind w:left="49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2F9821B2">
      <w:start w:val="1"/>
      <w:numFmt w:val="lowerLetter"/>
      <w:lvlText w:val="%2"/>
      <w:lvlJc w:val="left"/>
      <w:pPr>
        <w:ind w:left="21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13EA7712">
      <w:start w:val="1"/>
      <w:numFmt w:val="lowerRoman"/>
      <w:lvlText w:val="%3"/>
      <w:lvlJc w:val="left"/>
      <w:pPr>
        <w:ind w:left="28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7FE88454">
      <w:start w:val="1"/>
      <w:numFmt w:val="decimal"/>
      <w:lvlText w:val="%4"/>
      <w:lvlJc w:val="left"/>
      <w:pPr>
        <w:ind w:left="36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23C22B1A">
      <w:start w:val="1"/>
      <w:numFmt w:val="lowerLetter"/>
      <w:lvlText w:val="%5"/>
      <w:lvlJc w:val="left"/>
      <w:pPr>
        <w:ind w:left="433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E124D2E6">
      <w:start w:val="1"/>
      <w:numFmt w:val="lowerRoman"/>
      <w:lvlText w:val="%6"/>
      <w:lvlJc w:val="left"/>
      <w:pPr>
        <w:ind w:left="505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3F680A2A">
      <w:start w:val="1"/>
      <w:numFmt w:val="decimal"/>
      <w:lvlText w:val="%7"/>
      <w:lvlJc w:val="left"/>
      <w:pPr>
        <w:ind w:left="577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17C211C">
      <w:start w:val="1"/>
      <w:numFmt w:val="lowerLetter"/>
      <w:lvlText w:val="%8"/>
      <w:lvlJc w:val="left"/>
      <w:pPr>
        <w:ind w:left="649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036E7D2">
      <w:start w:val="1"/>
      <w:numFmt w:val="lowerRoman"/>
      <w:lvlText w:val="%9"/>
      <w:lvlJc w:val="left"/>
      <w:pPr>
        <w:ind w:left="721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num w:numId="1" w16cid:durableId="560675053">
    <w:abstractNumId w:val="0"/>
  </w:num>
  <w:num w:numId="2" w16cid:durableId="1105421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FB4"/>
    <w:rsid w:val="004012C9"/>
    <w:rsid w:val="006D6068"/>
    <w:rsid w:val="00AA6A53"/>
    <w:rsid w:val="00E84F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6711"/>
  <w15:docId w15:val="{5DB10458-50A7-49B8-99B7-09CA680B4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4" w:line="259" w:lineRule="auto"/>
      <w:ind w:left="511" w:firstLine="458"/>
      <w:jc w:val="both"/>
    </w:pPr>
    <w:rPr>
      <w:rFonts w:ascii="Courier New" w:eastAsia="Courier New" w:hAnsi="Courier New" w:cs="Courier New"/>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5.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1393</Words>
  <Characters>7943</Characters>
  <Application>Microsoft Office Word</Application>
  <DocSecurity>0</DocSecurity>
  <Lines>66</Lines>
  <Paragraphs>18</Paragraphs>
  <ScaleCrop>false</ScaleCrop>
  <Company>HP Inc.</Company>
  <LinksUpToDate>false</LinksUpToDate>
  <CharactersWithSpaces>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Avgerakis</dc:creator>
  <cp:keywords/>
  <cp:lastModifiedBy>George Avgerakis</cp:lastModifiedBy>
  <cp:revision>3</cp:revision>
  <dcterms:created xsi:type="dcterms:W3CDTF">2025-09-10T22:44:00Z</dcterms:created>
  <dcterms:modified xsi:type="dcterms:W3CDTF">2025-09-10T22:53:00Z</dcterms:modified>
</cp:coreProperties>
</file>